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DA0BE" w14:textId="19F6CA9B" w:rsidR="00916D78" w:rsidRDefault="00841BED">
      <w:bookmarkStart w:id="0" w:name="_Hlk58845269"/>
      <w:r w:rsidRPr="00415119">
        <w:rPr>
          <w:rFonts w:ascii="Tahoma" w:hAnsi="Tahoma" w:cs="Tahoma"/>
          <w:noProof/>
        </w:rPr>
        <w:drawing>
          <wp:anchor distT="0" distB="0" distL="114300" distR="114300" simplePos="0" relativeHeight="251658240" behindDoc="1" locked="0" layoutInCell="1" allowOverlap="1" wp14:anchorId="2BC751F5" wp14:editId="3F4F7D6A">
            <wp:simplePos x="0" y="0"/>
            <wp:positionH relativeFrom="column">
              <wp:posOffset>3257550</wp:posOffset>
            </wp:positionH>
            <wp:positionV relativeFrom="paragraph">
              <wp:posOffset>0</wp:posOffset>
            </wp:positionV>
            <wp:extent cx="2834640" cy="845820"/>
            <wp:effectExtent l="0" t="0" r="3810" b="0"/>
            <wp:wrapTight wrapText="bothSides">
              <wp:wrapPolygon edited="0">
                <wp:start x="0" y="0"/>
                <wp:lineTo x="0" y="20919"/>
                <wp:lineTo x="21484" y="20919"/>
                <wp:lineTo x="21484" y="0"/>
                <wp:lineTo x="0" y="0"/>
              </wp:wrapPolygon>
            </wp:wrapTight>
            <wp:docPr id="583492447" name="Picture 1" descr="compass-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ss-logo-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845820"/>
                    </a:xfrm>
                    <a:prstGeom prst="rect">
                      <a:avLst/>
                    </a:prstGeom>
                    <a:noFill/>
                    <a:ln>
                      <a:noFill/>
                    </a:ln>
                  </pic:spPr>
                </pic:pic>
              </a:graphicData>
            </a:graphic>
          </wp:anchor>
        </w:drawing>
      </w:r>
      <w:bookmarkEnd w:id="0"/>
    </w:p>
    <w:p w14:paraId="2E180F97" w14:textId="77777777" w:rsidR="00231884" w:rsidRDefault="00231884" w:rsidP="005E52F8">
      <w:pPr>
        <w:spacing w:after="360"/>
        <w:ind w:left="-284" w:right="119"/>
        <w:jc w:val="center"/>
        <w:rPr>
          <w:rFonts w:ascii="Tahoma" w:hAnsi="Tahoma" w:cs="Tahoma"/>
          <w:bCs/>
          <w:color w:val="005EB8"/>
          <w:sz w:val="52"/>
          <w:szCs w:val="52"/>
        </w:rPr>
      </w:pPr>
    </w:p>
    <w:p w14:paraId="344B5D40" w14:textId="59DA7DC7" w:rsidR="000F265D" w:rsidRPr="002A1B5B" w:rsidRDefault="005E52F8" w:rsidP="00231884">
      <w:pPr>
        <w:spacing w:after="360"/>
        <w:ind w:left="-284" w:right="119"/>
        <w:rPr>
          <w:rFonts w:ascii="Tahoma" w:hAnsi="Tahoma" w:cs="Tahoma"/>
          <w:bCs/>
          <w:color w:val="005EB8"/>
          <w:sz w:val="52"/>
          <w:szCs w:val="52"/>
        </w:rPr>
      </w:pPr>
      <w:r w:rsidRPr="002A1B5B">
        <w:rPr>
          <w:rFonts w:ascii="Tahoma" w:hAnsi="Tahoma" w:cs="Tahoma"/>
          <w:bCs/>
          <w:color w:val="005EB8"/>
          <w:sz w:val="52"/>
          <w:szCs w:val="52"/>
        </w:rPr>
        <w:t>Compass</w:t>
      </w:r>
      <w:r w:rsidR="007F1FAA" w:rsidRPr="002A1B5B">
        <w:rPr>
          <w:rFonts w:ascii="Tahoma" w:hAnsi="Tahoma" w:cs="Tahoma"/>
          <w:bCs/>
          <w:color w:val="005EB8"/>
          <w:sz w:val="52"/>
          <w:szCs w:val="52"/>
        </w:rPr>
        <w:t xml:space="preserve"> </w:t>
      </w:r>
      <w:r w:rsidRPr="002A1B5B">
        <w:rPr>
          <w:rFonts w:ascii="Tahoma" w:hAnsi="Tahoma" w:cs="Tahoma"/>
          <w:bCs/>
          <w:color w:val="005EB8"/>
          <w:sz w:val="52"/>
          <w:szCs w:val="52"/>
        </w:rPr>
        <w:t>S</w:t>
      </w:r>
      <w:r w:rsidR="00F17175" w:rsidRPr="002A1B5B">
        <w:rPr>
          <w:rFonts w:ascii="Tahoma" w:hAnsi="Tahoma" w:cs="Tahoma"/>
          <w:bCs/>
          <w:color w:val="005EB8"/>
          <w:sz w:val="52"/>
          <w:szCs w:val="52"/>
        </w:rPr>
        <w:t xml:space="preserve">afety </w:t>
      </w:r>
      <w:r w:rsidRPr="002A1B5B">
        <w:rPr>
          <w:rFonts w:ascii="Tahoma" w:hAnsi="Tahoma" w:cs="Tahoma"/>
          <w:bCs/>
          <w:color w:val="005EB8"/>
          <w:sz w:val="52"/>
          <w:szCs w:val="52"/>
        </w:rPr>
        <w:t>I</w:t>
      </w:r>
      <w:r w:rsidR="00F17175" w:rsidRPr="002A1B5B">
        <w:rPr>
          <w:rFonts w:ascii="Tahoma" w:hAnsi="Tahoma" w:cs="Tahoma"/>
          <w:bCs/>
          <w:color w:val="005EB8"/>
          <w:sz w:val="52"/>
          <w:szCs w:val="52"/>
        </w:rPr>
        <w:t xml:space="preserve">ncident </w:t>
      </w:r>
      <w:r w:rsidRPr="002A1B5B">
        <w:rPr>
          <w:rFonts w:ascii="Tahoma" w:hAnsi="Tahoma" w:cs="Tahoma"/>
          <w:bCs/>
          <w:color w:val="005EB8"/>
          <w:sz w:val="52"/>
          <w:szCs w:val="52"/>
        </w:rPr>
        <w:t>R</w:t>
      </w:r>
      <w:r w:rsidR="000E31F1" w:rsidRPr="002A1B5B">
        <w:rPr>
          <w:rFonts w:ascii="Tahoma" w:hAnsi="Tahoma" w:cs="Tahoma"/>
          <w:bCs/>
          <w:color w:val="005EB8"/>
          <w:sz w:val="52"/>
          <w:szCs w:val="52"/>
        </w:rPr>
        <w:t xml:space="preserve">esponse </w:t>
      </w:r>
      <w:r w:rsidRPr="002A1B5B">
        <w:rPr>
          <w:rFonts w:ascii="Tahoma" w:hAnsi="Tahoma" w:cs="Tahoma"/>
          <w:bCs/>
          <w:color w:val="005EB8"/>
          <w:sz w:val="52"/>
          <w:szCs w:val="52"/>
        </w:rPr>
        <w:t>P</w:t>
      </w:r>
      <w:r w:rsidR="000F265D" w:rsidRPr="002A1B5B">
        <w:rPr>
          <w:rFonts w:ascii="Tahoma" w:hAnsi="Tahoma" w:cs="Tahoma"/>
          <w:bCs/>
          <w:color w:val="005EB8"/>
          <w:sz w:val="52"/>
          <w:szCs w:val="52"/>
        </w:rPr>
        <w:t>lan</w:t>
      </w:r>
    </w:p>
    <w:p w14:paraId="456D694C" w14:textId="599F18F6" w:rsidR="00E37978" w:rsidRPr="002A1B5B" w:rsidRDefault="00E37978" w:rsidP="00B9403D">
      <w:pPr>
        <w:spacing w:after="280"/>
        <w:ind w:left="-284"/>
        <w:rPr>
          <w:rFonts w:ascii="Tahoma" w:hAnsi="Tahoma" w:cs="Tahoma"/>
          <w:bCs/>
          <w:sz w:val="24"/>
          <w:szCs w:val="24"/>
        </w:rPr>
      </w:pPr>
      <w:r w:rsidRPr="002A1B5B">
        <w:rPr>
          <w:rFonts w:ascii="Tahoma" w:hAnsi="Tahoma" w:cs="Tahoma"/>
          <w:bCs/>
          <w:sz w:val="24"/>
          <w:szCs w:val="24"/>
        </w:rPr>
        <w:t>Effective date</w:t>
      </w:r>
      <w:r w:rsidR="00B9403D" w:rsidRPr="002A1B5B">
        <w:rPr>
          <w:rFonts w:ascii="Tahoma" w:hAnsi="Tahoma" w:cs="Tahoma"/>
          <w:bCs/>
          <w:sz w:val="24"/>
          <w:szCs w:val="24"/>
        </w:rPr>
        <w:t>:</w:t>
      </w:r>
      <w:r w:rsidR="00870812" w:rsidRPr="002A1B5B">
        <w:rPr>
          <w:rFonts w:ascii="Tahoma" w:hAnsi="Tahoma" w:cs="Tahoma"/>
          <w:bCs/>
          <w:sz w:val="24"/>
          <w:szCs w:val="24"/>
        </w:rPr>
        <w:t xml:space="preserve"> </w:t>
      </w:r>
      <w:r w:rsidR="00CC329E" w:rsidRPr="002A1B5B">
        <w:rPr>
          <w:rFonts w:ascii="Tahoma" w:hAnsi="Tahoma" w:cs="Tahoma"/>
          <w:bCs/>
          <w:sz w:val="24"/>
          <w:szCs w:val="24"/>
        </w:rPr>
        <w:t>01 April</w:t>
      </w:r>
      <w:r w:rsidR="00870812" w:rsidRPr="002A1B5B">
        <w:rPr>
          <w:rFonts w:ascii="Tahoma" w:hAnsi="Tahoma" w:cs="Tahoma"/>
          <w:bCs/>
          <w:sz w:val="24"/>
          <w:szCs w:val="24"/>
        </w:rPr>
        <w:t xml:space="preserve"> 2024</w:t>
      </w:r>
    </w:p>
    <w:p w14:paraId="709A3B42" w14:textId="375B0F35" w:rsidR="00E37978" w:rsidRPr="002A1B5B" w:rsidRDefault="00E37978" w:rsidP="00371AA6">
      <w:pPr>
        <w:spacing w:after="600"/>
        <w:ind w:left="-284"/>
        <w:rPr>
          <w:rFonts w:ascii="Tahoma" w:hAnsi="Tahoma" w:cs="Tahoma"/>
          <w:bCs/>
          <w:sz w:val="24"/>
          <w:szCs w:val="24"/>
        </w:rPr>
      </w:pPr>
      <w:r w:rsidRPr="002A1B5B">
        <w:rPr>
          <w:rFonts w:ascii="Tahoma" w:hAnsi="Tahoma" w:cs="Tahoma"/>
          <w:bCs/>
          <w:sz w:val="24"/>
          <w:szCs w:val="24"/>
        </w:rPr>
        <w:t>Estimated refresh date:</w:t>
      </w:r>
      <w:r w:rsidR="00870812" w:rsidRPr="002A1B5B">
        <w:rPr>
          <w:rFonts w:ascii="Tahoma" w:hAnsi="Tahoma" w:cs="Tahoma"/>
          <w:bCs/>
          <w:sz w:val="24"/>
          <w:szCs w:val="24"/>
        </w:rPr>
        <w:t xml:space="preserve"> </w:t>
      </w:r>
      <w:r w:rsidR="00CC329E" w:rsidRPr="002A1B5B">
        <w:rPr>
          <w:rFonts w:ascii="Tahoma" w:hAnsi="Tahoma" w:cs="Tahoma"/>
          <w:bCs/>
          <w:sz w:val="24"/>
          <w:szCs w:val="24"/>
        </w:rPr>
        <w:t xml:space="preserve">01 </w:t>
      </w:r>
      <w:r w:rsidR="00D838CF">
        <w:rPr>
          <w:rFonts w:ascii="Tahoma" w:hAnsi="Tahoma" w:cs="Tahoma"/>
          <w:bCs/>
          <w:sz w:val="24"/>
          <w:szCs w:val="24"/>
        </w:rPr>
        <w:t>April</w:t>
      </w:r>
      <w:r w:rsidR="00870812" w:rsidRPr="002A1B5B">
        <w:rPr>
          <w:rFonts w:ascii="Tahoma" w:hAnsi="Tahoma" w:cs="Tahoma"/>
          <w:bCs/>
          <w:sz w:val="24"/>
          <w:szCs w:val="24"/>
        </w:rPr>
        <w:t xml:space="preserve"> 202</w:t>
      </w:r>
      <w:r w:rsidR="00D838CF">
        <w:rPr>
          <w:rFonts w:ascii="Tahoma" w:hAnsi="Tahoma" w:cs="Tahoma"/>
          <w:bCs/>
          <w:sz w:val="24"/>
          <w:szCs w:val="24"/>
        </w:rPr>
        <w:t>5</w:t>
      </w:r>
    </w:p>
    <w:tbl>
      <w:tblPr>
        <w:tblW w:w="93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2126"/>
        <w:gridCol w:w="1843"/>
        <w:gridCol w:w="1843"/>
        <w:gridCol w:w="1842"/>
      </w:tblGrid>
      <w:tr w:rsidR="00CB1F58" w:rsidRPr="002A1B5B" w14:paraId="02339999" w14:textId="77777777" w:rsidTr="00503EA1">
        <w:tc>
          <w:tcPr>
            <w:tcW w:w="1702" w:type="dxa"/>
            <w:tcBorders>
              <w:top w:val="nil"/>
              <w:left w:val="nil"/>
              <w:bottom w:val="single" w:sz="4" w:space="0" w:color="000000"/>
              <w:right w:val="single" w:sz="4" w:space="0" w:color="000000"/>
            </w:tcBorders>
          </w:tcPr>
          <w:p w14:paraId="00812DDF" w14:textId="77777777" w:rsidR="00CB1F58" w:rsidRPr="002A1B5B" w:rsidRDefault="00CB1F58" w:rsidP="004B04C6">
            <w:pPr>
              <w:pBdr>
                <w:top w:val="nil"/>
                <w:left w:val="nil"/>
                <w:bottom w:val="nil"/>
                <w:right w:val="nil"/>
                <w:between w:val="nil"/>
              </w:pBdr>
              <w:spacing w:before="40" w:after="40" w:line="240" w:lineRule="auto"/>
              <w:rPr>
                <w:rFonts w:ascii="Tahoma" w:eastAsia="Arial" w:hAnsi="Tahoma" w:cs="Tahoma"/>
                <w:b/>
                <w:color w:val="000000"/>
              </w:rPr>
            </w:pPr>
          </w:p>
        </w:tc>
        <w:tc>
          <w:tcPr>
            <w:tcW w:w="2126" w:type="dxa"/>
            <w:tcBorders>
              <w:left w:val="nil"/>
            </w:tcBorders>
          </w:tcPr>
          <w:p w14:paraId="76C984D2" w14:textId="77777777" w:rsidR="00CB1F58" w:rsidRPr="002A1B5B" w:rsidRDefault="00CB1F58" w:rsidP="004B04C6">
            <w:pPr>
              <w:pBdr>
                <w:top w:val="nil"/>
                <w:left w:val="nil"/>
                <w:bottom w:val="nil"/>
                <w:right w:val="nil"/>
                <w:between w:val="nil"/>
              </w:pBdr>
              <w:spacing w:before="40" w:after="40" w:line="240" w:lineRule="auto"/>
              <w:jc w:val="center"/>
              <w:rPr>
                <w:rFonts w:ascii="Tahoma" w:eastAsia="Arial" w:hAnsi="Tahoma" w:cs="Tahoma"/>
                <w:b/>
                <w:color w:val="000000"/>
                <w:sz w:val="24"/>
                <w:szCs w:val="24"/>
              </w:rPr>
            </w:pPr>
            <w:r w:rsidRPr="002A1B5B">
              <w:rPr>
                <w:rFonts w:ascii="Tahoma" w:eastAsia="Arial" w:hAnsi="Tahoma" w:cs="Tahoma"/>
                <w:b/>
                <w:color w:val="000000"/>
                <w:sz w:val="24"/>
                <w:szCs w:val="24"/>
              </w:rPr>
              <w:t>NAME</w:t>
            </w:r>
          </w:p>
        </w:tc>
        <w:tc>
          <w:tcPr>
            <w:tcW w:w="1843" w:type="dxa"/>
            <w:tcBorders>
              <w:left w:val="nil"/>
              <w:right w:val="single" w:sz="4" w:space="0" w:color="000000"/>
            </w:tcBorders>
          </w:tcPr>
          <w:p w14:paraId="2BF97111" w14:textId="77777777" w:rsidR="00CB1F58" w:rsidRPr="002A1B5B" w:rsidRDefault="00CB1F58" w:rsidP="004B04C6">
            <w:pPr>
              <w:pBdr>
                <w:top w:val="nil"/>
                <w:left w:val="nil"/>
                <w:bottom w:val="nil"/>
                <w:right w:val="nil"/>
                <w:between w:val="nil"/>
              </w:pBdr>
              <w:spacing w:before="40" w:after="40" w:line="240" w:lineRule="auto"/>
              <w:jc w:val="center"/>
              <w:rPr>
                <w:rFonts w:ascii="Tahoma" w:eastAsia="Arial" w:hAnsi="Tahoma" w:cs="Tahoma"/>
                <w:b/>
                <w:color w:val="000000"/>
                <w:sz w:val="24"/>
                <w:szCs w:val="24"/>
              </w:rPr>
            </w:pPr>
            <w:r w:rsidRPr="002A1B5B">
              <w:rPr>
                <w:rFonts w:ascii="Tahoma" w:eastAsia="Arial" w:hAnsi="Tahoma" w:cs="Tahoma"/>
                <w:b/>
                <w:color w:val="000000"/>
                <w:sz w:val="24"/>
                <w:szCs w:val="24"/>
              </w:rPr>
              <w:t>TITLE</w:t>
            </w:r>
          </w:p>
        </w:tc>
        <w:tc>
          <w:tcPr>
            <w:tcW w:w="1843" w:type="dxa"/>
            <w:tcBorders>
              <w:left w:val="single" w:sz="4" w:space="0" w:color="000000"/>
            </w:tcBorders>
          </w:tcPr>
          <w:p w14:paraId="1B735319" w14:textId="77777777" w:rsidR="00CB1F58" w:rsidRPr="002A1B5B" w:rsidRDefault="00CB1F58" w:rsidP="004B04C6">
            <w:pPr>
              <w:pBdr>
                <w:top w:val="nil"/>
                <w:left w:val="nil"/>
                <w:bottom w:val="nil"/>
                <w:right w:val="nil"/>
                <w:between w:val="nil"/>
              </w:pBdr>
              <w:spacing w:before="40" w:after="40" w:line="240" w:lineRule="auto"/>
              <w:jc w:val="center"/>
              <w:rPr>
                <w:rFonts w:ascii="Tahoma" w:eastAsia="Arial" w:hAnsi="Tahoma" w:cs="Tahoma"/>
                <w:b/>
                <w:color w:val="000000"/>
                <w:sz w:val="24"/>
                <w:szCs w:val="24"/>
              </w:rPr>
            </w:pPr>
            <w:r w:rsidRPr="002A1B5B">
              <w:rPr>
                <w:rFonts w:ascii="Tahoma" w:eastAsia="Arial" w:hAnsi="Tahoma" w:cs="Tahoma"/>
                <w:b/>
                <w:color w:val="000000"/>
                <w:sz w:val="24"/>
                <w:szCs w:val="24"/>
              </w:rPr>
              <w:t>SIGNATURE</w:t>
            </w:r>
          </w:p>
        </w:tc>
        <w:tc>
          <w:tcPr>
            <w:tcW w:w="1842" w:type="dxa"/>
          </w:tcPr>
          <w:p w14:paraId="3247A938" w14:textId="77777777" w:rsidR="00CB1F58" w:rsidRPr="002A1B5B" w:rsidRDefault="00CB1F58" w:rsidP="004B04C6">
            <w:pPr>
              <w:pBdr>
                <w:top w:val="nil"/>
                <w:left w:val="nil"/>
                <w:bottom w:val="nil"/>
                <w:right w:val="nil"/>
                <w:between w:val="nil"/>
              </w:pBdr>
              <w:spacing w:before="40" w:after="40" w:line="240" w:lineRule="auto"/>
              <w:jc w:val="center"/>
              <w:rPr>
                <w:rFonts w:ascii="Tahoma" w:eastAsia="Arial" w:hAnsi="Tahoma" w:cs="Tahoma"/>
                <w:b/>
                <w:color w:val="000000"/>
                <w:sz w:val="24"/>
                <w:szCs w:val="24"/>
              </w:rPr>
            </w:pPr>
            <w:r w:rsidRPr="002A1B5B">
              <w:rPr>
                <w:rFonts w:ascii="Tahoma" w:eastAsia="Arial" w:hAnsi="Tahoma" w:cs="Tahoma"/>
                <w:b/>
                <w:color w:val="000000"/>
                <w:sz w:val="24"/>
                <w:szCs w:val="24"/>
              </w:rPr>
              <w:t>DATE</w:t>
            </w:r>
          </w:p>
        </w:tc>
      </w:tr>
      <w:tr w:rsidR="00CB1F58" w:rsidRPr="002A1B5B" w14:paraId="7D034250" w14:textId="77777777" w:rsidTr="00503EA1">
        <w:trPr>
          <w:trHeight w:val="567"/>
        </w:trPr>
        <w:tc>
          <w:tcPr>
            <w:tcW w:w="1702" w:type="dxa"/>
            <w:tcBorders>
              <w:top w:val="single" w:sz="4" w:space="0" w:color="000000"/>
              <w:left w:val="single" w:sz="4" w:space="0" w:color="000000"/>
              <w:bottom w:val="single" w:sz="4" w:space="0" w:color="000000"/>
            </w:tcBorders>
          </w:tcPr>
          <w:p w14:paraId="1098244E" w14:textId="77777777" w:rsidR="00CB1F58" w:rsidRPr="002A1B5B" w:rsidRDefault="00CB1F58" w:rsidP="004B04C6">
            <w:pPr>
              <w:pBdr>
                <w:top w:val="nil"/>
                <w:left w:val="nil"/>
                <w:bottom w:val="nil"/>
                <w:right w:val="nil"/>
                <w:between w:val="nil"/>
              </w:pBdr>
              <w:spacing w:before="40" w:after="40" w:line="240" w:lineRule="auto"/>
              <w:rPr>
                <w:rFonts w:ascii="Tahoma" w:eastAsia="Arial" w:hAnsi="Tahoma" w:cs="Tahoma"/>
                <w:b/>
                <w:color w:val="000000"/>
                <w:sz w:val="24"/>
                <w:szCs w:val="24"/>
              </w:rPr>
            </w:pPr>
            <w:r w:rsidRPr="002A1B5B">
              <w:rPr>
                <w:rFonts w:ascii="Tahoma" w:eastAsia="Arial" w:hAnsi="Tahoma" w:cs="Tahoma"/>
                <w:b/>
                <w:color w:val="000000"/>
                <w:sz w:val="24"/>
                <w:szCs w:val="24"/>
              </w:rPr>
              <w:t>Author</w:t>
            </w:r>
          </w:p>
        </w:tc>
        <w:tc>
          <w:tcPr>
            <w:tcW w:w="2126" w:type="dxa"/>
          </w:tcPr>
          <w:p w14:paraId="37B56DC6" w14:textId="6B786914" w:rsidR="00CB1F58" w:rsidRPr="002A1B5B" w:rsidRDefault="002F4401" w:rsidP="004B04C6">
            <w:pPr>
              <w:pBdr>
                <w:top w:val="nil"/>
                <w:left w:val="nil"/>
                <w:bottom w:val="nil"/>
                <w:right w:val="nil"/>
                <w:between w:val="nil"/>
              </w:pBdr>
              <w:spacing w:before="40" w:after="40" w:line="240" w:lineRule="auto"/>
              <w:rPr>
                <w:rFonts w:ascii="Tahoma" w:eastAsia="Arial" w:hAnsi="Tahoma" w:cs="Tahoma"/>
                <w:bCs/>
                <w:color w:val="000000"/>
              </w:rPr>
            </w:pPr>
            <w:r w:rsidRPr="002A1B5B">
              <w:rPr>
                <w:rFonts w:ascii="Tahoma" w:eastAsia="Arial" w:hAnsi="Tahoma" w:cs="Tahoma"/>
                <w:bCs/>
                <w:color w:val="000000"/>
              </w:rPr>
              <w:t>Jan Smith</w:t>
            </w:r>
          </w:p>
        </w:tc>
        <w:tc>
          <w:tcPr>
            <w:tcW w:w="1843" w:type="dxa"/>
          </w:tcPr>
          <w:p w14:paraId="46412091" w14:textId="3C55181C" w:rsidR="00CB1F58" w:rsidRPr="002A1B5B" w:rsidRDefault="002F4401" w:rsidP="004B04C6">
            <w:pPr>
              <w:pBdr>
                <w:top w:val="nil"/>
                <w:left w:val="nil"/>
                <w:bottom w:val="nil"/>
                <w:right w:val="nil"/>
                <w:between w:val="nil"/>
              </w:pBdr>
              <w:spacing w:before="40" w:after="40" w:line="240" w:lineRule="auto"/>
              <w:rPr>
                <w:rFonts w:ascii="Tahoma" w:eastAsia="Arial" w:hAnsi="Tahoma" w:cs="Tahoma"/>
                <w:bCs/>
                <w:color w:val="000000"/>
              </w:rPr>
            </w:pPr>
            <w:r w:rsidRPr="002A1B5B">
              <w:rPr>
                <w:rFonts w:ascii="Tahoma" w:eastAsia="Arial" w:hAnsi="Tahoma" w:cs="Tahoma"/>
                <w:bCs/>
                <w:color w:val="000000"/>
              </w:rPr>
              <w:t>Operations Director</w:t>
            </w:r>
          </w:p>
        </w:tc>
        <w:tc>
          <w:tcPr>
            <w:tcW w:w="1843" w:type="dxa"/>
          </w:tcPr>
          <w:p w14:paraId="4B8B3A22" w14:textId="77777777" w:rsidR="00CB1F58" w:rsidRPr="002A1B5B" w:rsidRDefault="00CB1F58" w:rsidP="004B04C6">
            <w:pPr>
              <w:pBdr>
                <w:top w:val="nil"/>
                <w:left w:val="nil"/>
                <w:bottom w:val="nil"/>
                <w:right w:val="nil"/>
                <w:between w:val="nil"/>
              </w:pBdr>
              <w:spacing w:before="40" w:after="40" w:line="240" w:lineRule="auto"/>
              <w:rPr>
                <w:rFonts w:ascii="Tahoma" w:eastAsia="Arial" w:hAnsi="Tahoma" w:cs="Tahoma"/>
                <w:b/>
                <w:color w:val="000000"/>
              </w:rPr>
            </w:pPr>
          </w:p>
        </w:tc>
        <w:tc>
          <w:tcPr>
            <w:tcW w:w="1842" w:type="dxa"/>
          </w:tcPr>
          <w:p w14:paraId="374213ED" w14:textId="77777777" w:rsidR="00CB1F58" w:rsidRPr="002A1B5B" w:rsidRDefault="00CB1F58" w:rsidP="004B04C6">
            <w:pPr>
              <w:pBdr>
                <w:top w:val="nil"/>
                <w:left w:val="nil"/>
                <w:bottom w:val="nil"/>
                <w:right w:val="nil"/>
                <w:between w:val="nil"/>
              </w:pBdr>
              <w:spacing w:before="40" w:after="40" w:line="240" w:lineRule="auto"/>
              <w:rPr>
                <w:rFonts w:ascii="Tahoma" w:eastAsia="Arial" w:hAnsi="Tahoma" w:cs="Tahoma"/>
                <w:b/>
                <w:color w:val="000000"/>
              </w:rPr>
            </w:pPr>
          </w:p>
        </w:tc>
      </w:tr>
      <w:tr w:rsidR="00CB1F58" w:rsidRPr="002A1B5B" w14:paraId="2300E8AE" w14:textId="77777777" w:rsidTr="00503EA1">
        <w:trPr>
          <w:trHeight w:val="567"/>
        </w:trPr>
        <w:tc>
          <w:tcPr>
            <w:tcW w:w="1702" w:type="dxa"/>
            <w:tcBorders>
              <w:top w:val="single" w:sz="4" w:space="0" w:color="000000"/>
              <w:left w:val="single" w:sz="4" w:space="0" w:color="000000"/>
              <w:bottom w:val="single" w:sz="4" w:space="0" w:color="000000"/>
            </w:tcBorders>
          </w:tcPr>
          <w:p w14:paraId="0113E164" w14:textId="77777777" w:rsidR="00CB1F58" w:rsidRPr="002A1B5B" w:rsidRDefault="00CB1F58" w:rsidP="004B04C6">
            <w:pPr>
              <w:pBdr>
                <w:top w:val="nil"/>
                <w:left w:val="nil"/>
                <w:bottom w:val="nil"/>
                <w:right w:val="nil"/>
                <w:between w:val="nil"/>
              </w:pBdr>
              <w:spacing w:before="40" w:after="40" w:line="240" w:lineRule="auto"/>
              <w:rPr>
                <w:rFonts w:ascii="Tahoma" w:eastAsia="Arial" w:hAnsi="Tahoma" w:cs="Tahoma"/>
                <w:b/>
                <w:color w:val="000000"/>
                <w:sz w:val="24"/>
                <w:szCs w:val="24"/>
              </w:rPr>
            </w:pPr>
            <w:r w:rsidRPr="002A1B5B">
              <w:rPr>
                <w:rFonts w:ascii="Tahoma" w:eastAsia="Arial" w:hAnsi="Tahoma" w:cs="Tahoma"/>
                <w:b/>
                <w:color w:val="000000"/>
                <w:sz w:val="24"/>
                <w:szCs w:val="24"/>
              </w:rPr>
              <w:t>Reviewer</w:t>
            </w:r>
          </w:p>
        </w:tc>
        <w:tc>
          <w:tcPr>
            <w:tcW w:w="2126" w:type="dxa"/>
          </w:tcPr>
          <w:p w14:paraId="72BA6336" w14:textId="521DC0E0" w:rsidR="00CB1F58" w:rsidRPr="002A1B5B" w:rsidRDefault="002F4401" w:rsidP="004B04C6">
            <w:pPr>
              <w:pBdr>
                <w:top w:val="nil"/>
                <w:left w:val="nil"/>
                <w:bottom w:val="nil"/>
                <w:right w:val="nil"/>
                <w:between w:val="nil"/>
              </w:pBdr>
              <w:spacing w:before="40" w:after="40" w:line="240" w:lineRule="auto"/>
              <w:rPr>
                <w:rFonts w:ascii="Tahoma" w:eastAsia="Arial" w:hAnsi="Tahoma" w:cs="Tahoma"/>
                <w:bCs/>
                <w:color w:val="000000"/>
              </w:rPr>
            </w:pPr>
            <w:r w:rsidRPr="002A1B5B">
              <w:rPr>
                <w:rFonts w:ascii="Tahoma" w:eastAsia="Arial" w:hAnsi="Tahoma" w:cs="Tahoma"/>
                <w:bCs/>
                <w:color w:val="000000"/>
              </w:rPr>
              <w:t>Sue Cody</w:t>
            </w:r>
          </w:p>
        </w:tc>
        <w:tc>
          <w:tcPr>
            <w:tcW w:w="1843" w:type="dxa"/>
          </w:tcPr>
          <w:p w14:paraId="737CFD0F" w14:textId="312BA951" w:rsidR="00CB1F58" w:rsidRPr="002A1B5B" w:rsidRDefault="002F4401" w:rsidP="004B04C6">
            <w:pPr>
              <w:pBdr>
                <w:top w:val="nil"/>
                <w:left w:val="nil"/>
                <w:bottom w:val="nil"/>
                <w:right w:val="nil"/>
                <w:between w:val="nil"/>
              </w:pBdr>
              <w:spacing w:before="40" w:after="40" w:line="240" w:lineRule="auto"/>
              <w:rPr>
                <w:rFonts w:ascii="Tahoma" w:eastAsia="Arial" w:hAnsi="Tahoma" w:cs="Tahoma"/>
                <w:bCs/>
                <w:color w:val="000000"/>
              </w:rPr>
            </w:pPr>
            <w:r w:rsidRPr="002A1B5B">
              <w:rPr>
                <w:rFonts w:ascii="Tahoma" w:eastAsia="Arial" w:hAnsi="Tahoma" w:cs="Tahoma"/>
                <w:bCs/>
                <w:color w:val="000000"/>
              </w:rPr>
              <w:t>Quality Assurance Lead</w:t>
            </w:r>
          </w:p>
        </w:tc>
        <w:tc>
          <w:tcPr>
            <w:tcW w:w="1843" w:type="dxa"/>
          </w:tcPr>
          <w:p w14:paraId="1D052A27" w14:textId="77777777" w:rsidR="00CB1F58" w:rsidRPr="002A1B5B" w:rsidRDefault="00CB1F58" w:rsidP="004B04C6">
            <w:pPr>
              <w:pBdr>
                <w:top w:val="nil"/>
                <w:left w:val="nil"/>
                <w:bottom w:val="nil"/>
                <w:right w:val="nil"/>
                <w:between w:val="nil"/>
              </w:pBdr>
              <w:spacing w:before="40" w:after="40" w:line="240" w:lineRule="auto"/>
              <w:rPr>
                <w:rFonts w:ascii="Tahoma" w:eastAsia="Arial" w:hAnsi="Tahoma" w:cs="Tahoma"/>
                <w:b/>
                <w:color w:val="000000"/>
              </w:rPr>
            </w:pPr>
          </w:p>
        </w:tc>
        <w:tc>
          <w:tcPr>
            <w:tcW w:w="1842" w:type="dxa"/>
          </w:tcPr>
          <w:p w14:paraId="6A2EDDD3" w14:textId="77777777" w:rsidR="00CB1F58" w:rsidRPr="002A1B5B" w:rsidRDefault="00CB1F58" w:rsidP="004B04C6">
            <w:pPr>
              <w:pBdr>
                <w:top w:val="nil"/>
                <w:left w:val="nil"/>
                <w:bottom w:val="nil"/>
                <w:right w:val="nil"/>
                <w:between w:val="nil"/>
              </w:pBdr>
              <w:spacing w:before="40" w:after="40" w:line="240" w:lineRule="auto"/>
              <w:rPr>
                <w:rFonts w:ascii="Tahoma" w:eastAsia="Arial" w:hAnsi="Tahoma" w:cs="Tahoma"/>
                <w:b/>
                <w:color w:val="000000"/>
              </w:rPr>
            </w:pPr>
          </w:p>
        </w:tc>
      </w:tr>
      <w:tr w:rsidR="00CB1F58" w:rsidRPr="002A1B5B" w14:paraId="043D483A" w14:textId="77777777" w:rsidTr="00503EA1">
        <w:trPr>
          <w:trHeight w:val="567"/>
        </w:trPr>
        <w:tc>
          <w:tcPr>
            <w:tcW w:w="1702" w:type="dxa"/>
            <w:tcBorders>
              <w:top w:val="single" w:sz="4" w:space="0" w:color="000000"/>
              <w:left w:val="single" w:sz="4" w:space="0" w:color="000000"/>
              <w:bottom w:val="single" w:sz="4" w:space="0" w:color="000000"/>
              <w:right w:val="single" w:sz="4" w:space="0" w:color="000000"/>
            </w:tcBorders>
          </w:tcPr>
          <w:p w14:paraId="74EB2CCE" w14:textId="77777777" w:rsidR="00CB1F58" w:rsidRPr="002A1B5B" w:rsidRDefault="00CB1F58" w:rsidP="004B04C6">
            <w:pPr>
              <w:pBdr>
                <w:top w:val="nil"/>
                <w:left w:val="nil"/>
                <w:bottom w:val="nil"/>
                <w:right w:val="nil"/>
                <w:between w:val="nil"/>
              </w:pBdr>
              <w:spacing w:before="40" w:after="40" w:line="240" w:lineRule="auto"/>
              <w:rPr>
                <w:rFonts w:ascii="Tahoma" w:eastAsia="Arial" w:hAnsi="Tahoma" w:cs="Tahoma"/>
                <w:b/>
                <w:color w:val="000000"/>
                <w:sz w:val="24"/>
                <w:szCs w:val="24"/>
              </w:rPr>
            </w:pPr>
            <w:r w:rsidRPr="002A1B5B">
              <w:rPr>
                <w:rFonts w:ascii="Tahoma" w:eastAsia="Arial" w:hAnsi="Tahoma" w:cs="Tahoma"/>
                <w:b/>
                <w:color w:val="000000"/>
                <w:sz w:val="24"/>
                <w:szCs w:val="24"/>
              </w:rPr>
              <w:t>Authoriser</w:t>
            </w:r>
          </w:p>
        </w:tc>
        <w:tc>
          <w:tcPr>
            <w:tcW w:w="2126" w:type="dxa"/>
            <w:tcBorders>
              <w:left w:val="nil"/>
            </w:tcBorders>
          </w:tcPr>
          <w:p w14:paraId="7D22D39E" w14:textId="6E209A85" w:rsidR="00CB1F58" w:rsidRPr="002A1B5B" w:rsidRDefault="002F4401" w:rsidP="004B04C6">
            <w:pPr>
              <w:pBdr>
                <w:top w:val="nil"/>
                <w:left w:val="nil"/>
                <w:bottom w:val="nil"/>
                <w:right w:val="nil"/>
                <w:between w:val="nil"/>
              </w:pBdr>
              <w:spacing w:before="40" w:after="40" w:line="240" w:lineRule="auto"/>
              <w:rPr>
                <w:rFonts w:ascii="Tahoma" w:eastAsia="Arial" w:hAnsi="Tahoma" w:cs="Tahoma"/>
                <w:bCs/>
                <w:color w:val="000000"/>
              </w:rPr>
            </w:pPr>
            <w:r w:rsidRPr="002A1B5B">
              <w:rPr>
                <w:rFonts w:ascii="Tahoma" w:eastAsia="Arial" w:hAnsi="Tahoma" w:cs="Tahoma"/>
                <w:bCs/>
                <w:color w:val="000000"/>
              </w:rPr>
              <w:t>Rachel Bundock</w:t>
            </w:r>
          </w:p>
        </w:tc>
        <w:tc>
          <w:tcPr>
            <w:tcW w:w="1843" w:type="dxa"/>
            <w:tcBorders>
              <w:left w:val="nil"/>
              <w:right w:val="single" w:sz="4" w:space="0" w:color="000000"/>
            </w:tcBorders>
          </w:tcPr>
          <w:p w14:paraId="3C1D4D1C" w14:textId="7E2B95D4" w:rsidR="00CB1F58" w:rsidRPr="002A1B5B" w:rsidRDefault="002F4401" w:rsidP="004B04C6">
            <w:pPr>
              <w:pBdr>
                <w:top w:val="nil"/>
                <w:left w:val="nil"/>
                <w:bottom w:val="nil"/>
                <w:right w:val="nil"/>
                <w:between w:val="nil"/>
              </w:pBdr>
              <w:spacing w:before="40" w:after="40" w:line="240" w:lineRule="auto"/>
              <w:rPr>
                <w:rFonts w:ascii="Tahoma" w:eastAsia="Arial" w:hAnsi="Tahoma" w:cs="Tahoma"/>
                <w:bCs/>
                <w:color w:val="000000"/>
              </w:rPr>
            </w:pPr>
            <w:r w:rsidRPr="002A1B5B">
              <w:rPr>
                <w:rFonts w:ascii="Tahoma" w:eastAsia="Arial" w:hAnsi="Tahoma" w:cs="Tahoma"/>
                <w:bCs/>
                <w:color w:val="000000"/>
              </w:rPr>
              <w:t>Chief Executive</w:t>
            </w:r>
          </w:p>
        </w:tc>
        <w:tc>
          <w:tcPr>
            <w:tcW w:w="1843" w:type="dxa"/>
            <w:tcBorders>
              <w:left w:val="single" w:sz="4" w:space="0" w:color="000000"/>
            </w:tcBorders>
          </w:tcPr>
          <w:p w14:paraId="4B23F6A0" w14:textId="77777777" w:rsidR="00CB1F58" w:rsidRPr="002A1B5B" w:rsidRDefault="00CB1F58" w:rsidP="004B04C6">
            <w:pPr>
              <w:pBdr>
                <w:top w:val="nil"/>
                <w:left w:val="nil"/>
                <w:bottom w:val="nil"/>
                <w:right w:val="nil"/>
                <w:between w:val="nil"/>
              </w:pBdr>
              <w:spacing w:before="40" w:after="40" w:line="240" w:lineRule="auto"/>
              <w:rPr>
                <w:rFonts w:ascii="Tahoma" w:eastAsia="Arial" w:hAnsi="Tahoma" w:cs="Tahoma"/>
                <w:b/>
                <w:color w:val="000000"/>
              </w:rPr>
            </w:pPr>
          </w:p>
        </w:tc>
        <w:tc>
          <w:tcPr>
            <w:tcW w:w="1842" w:type="dxa"/>
          </w:tcPr>
          <w:p w14:paraId="3DB92E98" w14:textId="77777777" w:rsidR="00CB1F58" w:rsidRPr="002A1B5B" w:rsidRDefault="00CB1F58" w:rsidP="004B04C6">
            <w:pPr>
              <w:pBdr>
                <w:top w:val="nil"/>
                <w:left w:val="nil"/>
                <w:bottom w:val="nil"/>
                <w:right w:val="nil"/>
                <w:between w:val="nil"/>
              </w:pBdr>
              <w:spacing w:before="40" w:after="40" w:line="240" w:lineRule="auto"/>
              <w:rPr>
                <w:rFonts w:ascii="Tahoma" w:eastAsia="Arial" w:hAnsi="Tahoma" w:cs="Tahoma"/>
                <w:b/>
                <w:color w:val="000000"/>
              </w:rPr>
            </w:pPr>
          </w:p>
        </w:tc>
      </w:tr>
    </w:tbl>
    <w:p w14:paraId="3E0885BA" w14:textId="77777777" w:rsidR="00CB1F58" w:rsidRPr="002A1B5B" w:rsidRDefault="00CB1F58" w:rsidP="00CB1F58">
      <w:pPr>
        <w:rPr>
          <w:rFonts w:ascii="Tahoma" w:hAnsi="Tahoma" w:cs="Tahoma"/>
        </w:rPr>
      </w:pPr>
    </w:p>
    <w:bookmarkStart w:id="1" w:name="_Toc47518812" w:displacedByCustomXml="next"/>
    <w:sdt>
      <w:sdtPr>
        <w:id w:val="580487710"/>
        <w:docPartObj>
          <w:docPartGallery w:val="Table of Contents"/>
          <w:docPartUnique/>
        </w:docPartObj>
      </w:sdtPr>
      <w:sdtEndPr>
        <w:rPr>
          <w:rFonts w:ascii="Tahoma" w:eastAsiaTheme="minorEastAsia" w:hAnsi="Tahoma" w:cs="Tahoma"/>
          <w:b w:val="0"/>
          <w:bCs w:val="0"/>
          <w:color w:val="auto"/>
          <w:sz w:val="22"/>
          <w:szCs w:val="22"/>
        </w:rPr>
      </w:sdtEndPr>
      <w:sdtContent>
        <w:p w14:paraId="5CAD1A67" w14:textId="77777777" w:rsidR="00606710" w:rsidRDefault="00606710">
          <w:pPr>
            <w:pStyle w:val="TOCHeading"/>
            <w:rPr>
              <w:rFonts w:ascii="Tahoma" w:hAnsi="Tahoma" w:cs="Tahoma"/>
              <w:sz w:val="48"/>
              <w:szCs w:val="48"/>
            </w:rPr>
          </w:pPr>
          <w:r w:rsidRPr="00113BAE">
            <w:rPr>
              <w:rFonts w:ascii="Tahoma" w:hAnsi="Tahoma" w:cs="Tahoma"/>
              <w:sz w:val="48"/>
              <w:szCs w:val="48"/>
            </w:rPr>
            <w:t>Contents</w:t>
          </w:r>
        </w:p>
        <w:p w14:paraId="7C00E710" w14:textId="77777777" w:rsidR="00113BAE" w:rsidRPr="00113BAE" w:rsidRDefault="00113BAE" w:rsidP="00113BAE">
          <w:pPr>
            <w:rPr>
              <w:rFonts w:ascii="Tahoma" w:hAnsi="Tahoma" w:cs="Tahoma"/>
              <w:lang w:val="en-US" w:eastAsia="ja-JP"/>
            </w:rPr>
          </w:pPr>
        </w:p>
        <w:p w14:paraId="77DAC5F8" w14:textId="6BD83F51" w:rsidR="00606710" w:rsidRPr="00113BAE" w:rsidRDefault="00664BD4" w:rsidP="00664BD4">
          <w:pPr>
            <w:pStyle w:val="TOC1"/>
            <w:rPr>
              <w:rFonts w:ascii="Tahoma" w:hAnsi="Tahoma" w:cs="Tahoma"/>
            </w:rPr>
          </w:pPr>
          <w:r w:rsidRPr="00113BAE">
            <w:rPr>
              <w:rFonts w:ascii="Tahoma" w:hAnsi="Tahoma" w:cs="Tahoma"/>
            </w:rPr>
            <w:t>Introduction</w:t>
          </w:r>
          <w:r w:rsidR="00606710" w:rsidRPr="00113BAE">
            <w:rPr>
              <w:rFonts w:ascii="Tahoma" w:hAnsi="Tahoma" w:cs="Tahoma"/>
            </w:rPr>
            <w:ptab w:relativeTo="margin" w:alignment="right" w:leader="dot"/>
          </w:r>
          <w:r w:rsidRPr="00113BAE">
            <w:rPr>
              <w:rFonts w:ascii="Tahoma" w:hAnsi="Tahoma" w:cs="Tahoma"/>
            </w:rPr>
            <w:t>2</w:t>
          </w:r>
        </w:p>
        <w:p w14:paraId="1EE9B228" w14:textId="071BC866" w:rsidR="00606710" w:rsidRPr="00113BAE" w:rsidRDefault="00664BD4" w:rsidP="00664BD4">
          <w:pPr>
            <w:pStyle w:val="TOC2"/>
            <w:rPr>
              <w:rFonts w:ascii="Tahoma" w:hAnsi="Tahoma" w:cs="Tahoma"/>
            </w:rPr>
          </w:pPr>
          <w:r w:rsidRPr="00113BAE">
            <w:rPr>
              <w:rFonts w:ascii="Tahoma" w:hAnsi="Tahoma" w:cs="Tahoma"/>
            </w:rPr>
            <w:t>Our Services</w:t>
          </w:r>
          <w:r w:rsidR="00606710" w:rsidRPr="00113BAE">
            <w:rPr>
              <w:rFonts w:ascii="Tahoma" w:hAnsi="Tahoma" w:cs="Tahoma"/>
            </w:rPr>
            <w:ptab w:relativeTo="margin" w:alignment="right" w:leader="dot"/>
          </w:r>
          <w:r w:rsidR="00606710" w:rsidRPr="00113BAE">
            <w:rPr>
              <w:rFonts w:ascii="Tahoma" w:hAnsi="Tahoma" w:cs="Tahoma"/>
            </w:rPr>
            <w:t>2</w:t>
          </w:r>
        </w:p>
        <w:p w14:paraId="06647423" w14:textId="31DEE4C4" w:rsidR="00606710" w:rsidRPr="00113BAE" w:rsidRDefault="00664BD4" w:rsidP="00664BD4">
          <w:pPr>
            <w:pStyle w:val="TOC3"/>
            <w:ind w:left="0"/>
            <w:rPr>
              <w:rFonts w:ascii="Tahoma" w:hAnsi="Tahoma" w:cs="Tahoma"/>
            </w:rPr>
          </w:pPr>
          <w:r w:rsidRPr="00113BAE">
            <w:rPr>
              <w:rFonts w:ascii="Tahoma" w:hAnsi="Tahoma" w:cs="Tahoma"/>
            </w:rPr>
            <w:t>Defining our safety incident profile</w:t>
          </w:r>
          <w:r w:rsidR="00606710" w:rsidRPr="00113BAE">
            <w:rPr>
              <w:rFonts w:ascii="Tahoma" w:hAnsi="Tahoma" w:cs="Tahoma"/>
            </w:rPr>
            <w:ptab w:relativeTo="margin" w:alignment="right" w:leader="dot"/>
          </w:r>
          <w:r w:rsidR="00606710" w:rsidRPr="00113BAE">
            <w:rPr>
              <w:rFonts w:ascii="Tahoma" w:hAnsi="Tahoma" w:cs="Tahoma"/>
            </w:rPr>
            <w:t>3</w:t>
          </w:r>
        </w:p>
        <w:p w14:paraId="56C820C1" w14:textId="10827FB8" w:rsidR="00606710" w:rsidRPr="00113BAE" w:rsidRDefault="00363943" w:rsidP="00664BD4">
          <w:pPr>
            <w:pStyle w:val="TOC1"/>
            <w:rPr>
              <w:rFonts w:ascii="Tahoma" w:hAnsi="Tahoma" w:cs="Tahoma"/>
            </w:rPr>
          </w:pPr>
          <w:r w:rsidRPr="00113BAE">
            <w:rPr>
              <w:rFonts w:ascii="Tahoma" w:hAnsi="Tahoma" w:cs="Tahoma"/>
            </w:rPr>
            <w:t>Defining our safety improvement profile</w:t>
          </w:r>
          <w:r w:rsidR="00606710" w:rsidRPr="00113BAE">
            <w:rPr>
              <w:rFonts w:ascii="Tahoma" w:hAnsi="Tahoma" w:cs="Tahoma"/>
            </w:rPr>
            <w:ptab w:relativeTo="margin" w:alignment="right" w:leader="dot"/>
          </w:r>
          <w:r w:rsidR="00606710" w:rsidRPr="00113BAE">
            <w:rPr>
              <w:rFonts w:ascii="Tahoma" w:hAnsi="Tahoma" w:cs="Tahoma"/>
            </w:rPr>
            <w:t>4</w:t>
          </w:r>
        </w:p>
        <w:p w14:paraId="569D753D" w14:textId="537AD851" w:rsidR="00606710" w:rsidRPr="00113BAE" w:rsidRDefault="00113BAE" w:rsidP="00113BAE">
          <w:pPr>
            <w:pStyle w:val="TOC2"/>
            <w:rPr>
              <w:rFonts w:ascii="Tahoma" w:hAnsi="Tahoma" w:cs="Tahoma"/>
            </w:rPr>
          </w:pPr>
          <w:r w:rsidRPr="00113BAE">
            <w:rPr>
              <w:rFonts w:ascii="Tahoma" w:hAnsi="Tahoma" w:cs="Tahoma"/>
            </w:rPr>
            <w:t>Our safety incident response plan</w:t>
          </w:r>
          <w:r w:rsidR="00606710" w:rsidRPr="00113BAE">
            <w:rPr>
              <w:rFonts w:ascii="Tahoma" w:hAnsi="Tahoma" w:cs="Tahoma"/>
            </w:rPr>
            <w:ptab w:relativeTo="margin" w:alignment="right" w:leader="dot"/>
          </w:r>
          <w:r w:rsidR="00606710" w:rsidRPr="00113BAE">
            <w:rPr>
              <w:rFonts w:ascii="Tahoma" w:hAnsi="Tahoma" w:cs="Tahoma"/>
            </w:rPr>
            <w:t>5</w:t>
          </w:r>
        </w:p>
        <w:p w14:paraId="71A778ED" w14:textId="7B4036A3" w:rsidR="00606710" w:rsidRPr="00113BAE" w:rsidRDefault="00113BAE" w:rsidP="00113BAE">
          <w:pPr>
            <w:pStyle w:val="TOC3"/>
            <w:ind w:left="0"/>
            <w:rPr>
              <w:rFonts w:ascii="Tahoma" w:hAnsi="Tahoma" w:cs="Tahoma"/>
            </w:rPr>
          </w:pPr>
          <w:r w:rsidRPr="00113BAE">
            <w:rPr>
              <w:rFonts w:ascii="Tahoma" w:hAnsi="Tahoma" w:cs="Tahoma"/>
            </w:rPr>
            <w:t>Monitoring safety incident responses</w:t>
          </w:r>
          <w:r w:rsidR="00606710" w:rsidRPr="00113BAE">
            <w:rPr>
              <w:rFonts w:ascii="Tahoma" w:hAnsi="Tahoma" w:cs="Tahoma"/>
            </w:rPr>
            <w:ptab w:relativeTo="margin" w:alignment="right" w:leader="dot"/>
          </w:r>
          <w:r w:rsidR="00606710" w:rsidRPr="00113BAE">
            <w:rPr>
              <w:rFonts w:ascii="Tahoma" w:hAnsi="Tahoma" w:cs="Tahoma"/>
            </w:rPr>
            <w:t>6</w:t>
          </w:r>
        </w:p>
      </w:sdtContent>
    </w:sdt>
    <w:p w14:paraId="5483BF69" w14:textId="77777777" w:rsidR="00D97499" w:rsidRPr="002A1B5B" w:rsidRDefault="00D97499" w:rsidP="00D97499">
      <w:pPr>
        <w:rPr>
          <w:rFonts w:ascii="Tahoma" w:eastAsia="Calibri" w:hAnsi="Tahoma" w:cs="Tahoma"/>
          <w:b/>
          <w:color w:val="00B050"/>
        </w:rPr>
      </w:pPr>
    </w:p>
    <w:p w14:paraId="5512371A" w14:textId="77777777" w:rsidR="00D97499" w:rsidRPr="002A1B5B" w:rsidRDefault="00D97499" w:rsidP="00D97499">
      <w:pPr>
        <w:rPr>
          <w:rFonts w:ascii="Tahoma" w:eastAsia="Calibri" w:hAnsi="Tahoma" w:cs="Tahoma"/>
          <w:b/>
          <w:color w:val="00B050"/>
        </w:rPr>
      </w:pPr>
    </w:p>
    <w:p w14:paraId="36FE8B32" w14:textId="77777777" w:rsidR="00D97499" w:rsidRPr="002A1B5B" w:rsidRDefault="00D97499" w:rsidP="00D97499">
      <w:pPr>
        <w:rPr>
          <w:rFonts w:ascii="Tahoma" w:eastAsia="Calibri" w:hAnsi="Tahoma" w:cs="Tahoma"/>
          <w:b/>
          <w:color w:val="00B050"/>
        </w:rPr>
      </w:pPr>
    </w:p>
    <w:p w14:paraId="1A0CDFEE" w14:textId="77777777" w:rsidR="00D97499" w:rsidRPr="002A1B5B" w:rsidRDefault="00D97499" w:rsidP="00D97499">
      <w:pPr>
        <w:rPr>
          <w:rFonts w:ascii="Tahoma" w:eastAsia="Calibri" w:hAnsi="Tahoma" w:cs="Tahoma"/>
          <w:b/>
          <w:color w:val="00B050"/>
        </w:rPr>
      </w:pPr>
    </w:p>
    <w:p w14:paraId="59C0F013" w14:textId="77777777" w:rsidR="00FE44CB" w:rsidRDefault="00FE44CB" w:rsidP="00D97499">
      <w:pPr>
        <w:rPr>
          <w:rFonts w:ascii="Tahoma" w:hAnsi="Tahoma" w:cs="Tahoma"/>
          <w:color w:val="005EB8"/>
          <w:sz w:val="28"/>
          <w:szCs w:val="28"/>
        </w:rPr>
      </w:pPr>
    </w:p>
    <w:p w14:paraId="53512055" w14:textId="70DC9805" w:rsidR="00D97499" w:rsidRPr="00D838CF" w:rsidRDefault="00324855" w:rsidP="00D97499">
      <w:pPr>
        <w:rPr>
          <w:rFonts w:ascii="Tahoma" w:eastAsia="Calibri" w:hAnsi="Tahoma" w:cs="Tahoma"/>
          <w:b/>
          <w:color w:val="00B050"/>
          <w:sz w:val="28"/>
          <w:szCs w:val="28"/>
        </w:rPr>
      </w:pPr>
      <w:r w:rsidRPr="00D838CF">
        <w:rPr>
          <w:rFonts w:ascii="Tahoma" w:hAnsi="Tahoma" w:cs="Tahoma"/>
          <w:color w:val="005EB8"/>
          <w:sz w:val="28"/>
          <w:szCs w:val="28"/>
        </w:rPr>
        <w:t>Introduction</w:t>
      </w:r>
    </w:p>
    <w:p w14:paraId="6238E357" w14:textId="56DC0FA5" w:rsidR="009A2CC5" w:rsidRPr="002A1B5B" w:rsidRDefault="00324855" w:rsidP="00D97499">
      <w:pPr>
        <w:spacing w:line="360" w:lineRule="auto"/>
        <w:ind w:left="-284"/>
        <w:jc w:val="both"/>
        <w:rPr>
          <w:rFonts w:ascii="Tahoma" w:eastAsia="Calibri" w:hAnsi="Tahoma" w:cs="Tahoma"/>
          <w:b/>
          <w:color w:val="00B050"/>
        </w:rPr>
      </w:pPr>
      <w:r w:rsidRPr="002A1B5B">
        <w:rPr>
          <w:rFonts w:ascii="Tahoma" w:hAnsi="Tahoma" w:cs="Tahoma"/>
        </w:rPr>
        <w:t xml:space="preserve">This </w:t>
      </w:r>
      <w:r w:rsidR="006B7E4E" w:rsidRPr="002A1B5B">
        <w:rPr>
          <w:rFonts w:ascii="Tahoma" w:hAnsi="Tahoma" w:cs="Tahoma"/>
        </w:rPr>
        <w:t xml:space="preserve">safety incident response </w:t>
      </w:r>
      <w:r w:rsidR="00D30A85" w:rsidRPr="002A1B5B">
        <w:rPr>
          <w:rFonts w:ascii="Tahoma" w:hAnsi="Tahoma" w:cs="Tahoma"/>
        </w:rPr>
        <w:t>plan</w:t>
      </w:r>
      <w:r w:rsidR="006B7E4E" w:rsidRPr="002A1B5B">
        <w:rPr>
          <w:rFonts w:ascii="Tahoma" w:hAnsi="Tahoma" w:cs="Tahoma"/>
        </w:rPr>
        <w:t xml:space="preserve"> </w:t>
      </w:r>
      <w:r w:rsidR="008B5781" w:rsidRPr="002A1B5B">
        <w:rPr>
          <w:rFonts w:ascii="Tahoma" w:hAnsi="Tahoma" w:cs="Tahoma"/>
        </w:rPr>
        <w:t>sets out</w:t>
      </w:r>
      <w:r w:rsidR="006B7E4E" w:rsidRPr="002A1B5B">
        <w:rPr>
          <w:rFonts w:ascii="Tahoma" w:hAnsi="Tahoma" w:cs="Tahoma"/>
        </w:rPr>
        <w:t xml:space="preserve"> how </w:t>
      </w:r>
      <w:r w:rsidR="00870812" w:rsidRPr="002A1B5B">
        <w:rPr>
          <w:rFonts w:ascii="Tahoma" w:hAnsi="Tahoma" w:cs="Tahoma"/>
        </w:rPr>
        <w:t>Compass</w:t>
      </w:r>
      <w:r w:rsidR="006B7E4E" w:rsidRPr="002A1B5B">
        <w:rPr>
          <w:rFonts w:ascii="Tahoma" w:hAnsi="Tahoma" w:cs="Tahoma"/>
          <w:b/>
          <w:bCs/>
        </w:rPr>
        <w:t xml:space="preserve"> </w:t>
      </w:r>
      <w:r w:rsidR="006B7E4E" w:rsidRPr="002A1B5B">
        <w:rPr>
          <w:rFonts w:ascii="Tahoma" w:hAnsi="Tahoma" w:cs="Tahoma"/>
        </w:rPr>
        <w:t xml:space="preserve">intends to respond to safety incidents over a period of </w:t>
      </w:r>
      <w:r w:rsidR="00870812" w:rsidRPr="002A1B5B">
        <w:rPr>
          <w:rFonts w:ascii="Tahoma" w:hAnsi="Tahoma" w:cs="Tahoma"/>
        </w:rPr>
        <w:t xml:space="preserve">6 - </w:t>
      </w:r>
      <w:r w:rsidR="006B7E4E" w:rsidRPr="002A1B5B">
        <w:rPr>
          <w:rFonts w:ascii="Tahoma" w:hAnsi="Tahoma" w:cs="Tahoma"/>
        </w:rPr>
        <w:t xml:space="preserve">12 months. The plan is not a permanent rule that cannot be changed. We will remain flexible and consider </w:t>
      </w:r>
      <w:r w:rsidR="009F6A6D" w:rsidRPr="002A1B5B">
        <w:rPr>
          <w:rFonts w:ascii="Tahoma" w:hAnsi="Tahoma" w:cs="Tahoma"/>
        </w:rPr>
        <w:t xml:space="preserve">the specific circumstances in which </w:t>
      </w:r>
      <w:r w:rsidR="006B7E4E" w:rsidRPr="002A1B5B">
        <w:rPr>
          <w:rFonts w:ascii="Tahoma" w:hAnsi="Tahoma" w:cs="Tahoma"/>
        </w:rPr>
        <w:t xml:space="preserve">safety issues and incidents </w:t>
      </w:r>
      <w:r w:rsidR="009F6A6D" w:rsidRPr="002A1B5B">
        <w:rPr>
          <w:rFonts w:ascii="Tahoma" w:hAnsi="Tahoma" w:cs="Tahoma"/>
        </w:rPr>
        <w:t>occur</w:t>
      </w:r>
      <w:r w:rsidR="006B7E4E" w:rsidRPr="002A1B5B">
        <w:rPr>
          <w:rFonts w:ascii="Tahoma" w:hAnsi="Tahoma" w:cs="Tahoma"/>
        </w:rPr>
        <w:t xml:space="preserve"> and the needs of those affected.</w:t>
      </w:r>
      <w:r w:rsidR="002F4401" w:rsidRPr="002A1B5B">
        <w:rPr>
          <w:rFonts w:ascii="Tahoma" w:hAnsi="Tahoma" w:cs="Tahoma"/>
        </w:rPr>
        <w:t xml:space="preserve"> This plan reflects the context of care and services provided by Compass setting out proportionate and purposeful </w:t>
      </w:r>
      <w:r w:rsidR="004659CF" w:rsidRPr="002A1B5B">
        <w:rPr>
          <w:rFonts w:ascii="Tahoma" w:hAnsi="Tahoma" w:cs="Tahoma"/>
        </w:rPr>
        <w:t>response</w:t>
      </w:r>
      <w:r w:rsidR="002F4401" w:rsidRPr="002A1B5B">
        <w:rPr>
          <w:rFonts w:ascii="Tahoma" w:hAnsi="Tahoma" w:cs="Tahoma"/>
        </w:rPr>
        <w:t xml:space="preserve"> to support </w:t>
      </w:r>
      <w:r w:rsidR="0037246F" w:rsidRPr="002A1B5B">
        <w:rPr>
          <w:rFonts w:ascii="Tahoma" w:hAnsi="Tahoma" w:cs="Tahoma"/>
        </w:rPr>
        <w:t xml:space="preserve">our </w:t>
      </w:r>
      <w:r w:rsidR="002F4401" w:rsidRPr="002A1B5B">
        <w:rPr>
          <w:rFonts w:ascii="Tahoma" w:hAnsi="Tahoma" w:cs="Tahoma"/>
        </w:rPr>
        <w:t>continuous improvement in the delivery of early intervention, prevention and promotion services.</w:t>
      </w:r>
      <w:bookmarkEnd w:id="1"/>
    </w:p>
    <w:p w14:paraId="63B4335F" w14:textId="29209676" w:rsidR="00880BB6" w:rsidRPr="00D838CF" w:rsidRDefault="006B7E4E" w:rsidP="00D97499">
      <w:pPr>
        <w:spacing w:before="280" w:after="280" w:line="360" w:lineRule="atLeast"/>
        <w:ind w:left="-284" w:right="119" w:firstLine="284"/>
        <w:jc w:val="both"/>
        <w:rPr>
          <w:rFonts w:ascii="Tahoma" w:hAnsi="Tahoma" w:cs="Tahoma"/>
          <w:sz w:val="28"/>
          <w:szCs w:val="28"/>
        </w:rPr>
      </w:pPr>
      <w:r w:rsidRPr="00D838CF">
        <w:rPr>
          <w:rFonts w:ascii="Tahoma" w:hAnsi="Tahoma" w:cs="Tahoma"/>
          <w:color w:val="005EB8"/>
          <w:sz w:val="28"/>
          <w:szCs w:val="28"/>
        </w:rPr>
        <w:t>Our services</w:t>
      </w:r>
    </w:p>
    <w:p w14:paraId="01FB56B5" w14:textId="77777777" w:rsidR="00D97499" w:rsidRPr="002A1B5B" w:rsidRDefault="009A2CC5" w:rsidP="00D97499">
      <w:pPr>
        <w:spacing w:after="0" w:line="360" w:lineRule="auto"/>
        <w:ind w:left="-284"/>
        <w:jc w:val="both"/>
        <w:rPr>
          <w:rFonts w:ascii="Tahoma" w:hAnsi="Tahoma" w:cs="Tahoma"/>
        </w:rPr>
      </w:pPr>
      <w:r w:rsidRPr="002A1B5B">
        <w:rPr>
          <w:rFonts w:ascii="Tahoma" w:hAnsi="Tahoma" w:cs="Tahoma"/>
        </w:rPr>
        <w:t xml:space="preserve">Compass provides early intervention and prevention services to children and young people (CYP) across a wide geography and multiple specialities including school health, substance use and risky behaviours, sexual health and emotional and mental health and wellbeing. In all services Compass has clear </w:t>
      </w:r>
      <w:r w:rsidR="00AC4270" w:rsidRPr="002A1B5B">
        <w:rPr>
          <w:rFonts w:ascii="Tahoma" w:hAnsi="Tahoma" w:cs="Tahoma"/>
        </w:rPr>
        <w:t xml:space="preserve">local </w:t>
      </w:r>
      <w:r w:rsidRPr="002A1B5B">
        <w:rPr>
          <w:rFonts w:ascii="Tahoma" w:hAnsi="Tahoma" w:cs="Tahoma"/>
        </w:rPr>
        <w:t>pathways of care and partnerships which allow for timely onward referral to additional support or services where there is a known or suspected risk to safety.</w:t>
      </w:r>
      <w:r w:rsidR="00213934" w:rsidRPr="002A1B5B">
        <w:rPr>
          <w:rFonts w:ascii="Tahoma" w:hAnsi="Tahoma" w:cs="Tahoma"/>
        </w:rPr>
        <w:t xml:space="preserve"> Providing early intervention prevention and health promotion activity naturally means that safety incidents are not common</w:t>
      </w:r>
      <w:r w:rsidR="0037246F" w:rsidRPr="002A1B5B">
        <w:rPr>
          <w:rFonts w:ascii="Tahoma" w:hAnsi="Tahoma" w:cs="Tahoma"/>
        </w:rPr>
        <w:t>.</w:t>
      </w:r>
    </w:p>
    <w:p w14:paraId="27216837" w14:textId="77777777" w:rsidR="00D97499" w:rsidRDefault="00D97499" w:rsidP="00D97499">
      <w:pPr>
        <w:spacing w:after="0" w:line="360" w:lineRule="auto"/>
        <w:ind w:left="-284"/>
        <w:jc w:val="both"/>
        <w:rPr>
          <w:rFonts w:ascii="Tahoma" w:hAnsi="Tahoma" w:cs="Tahoma"/>
        </w:rPr>
      </w:pPr>
    </w:p>
    <w:p w14:paraId="4C92BA0A" w14:textId="77777777" w:rsidR="00F15679" w:rsidRDefault="00F15679" w:rsidP="00D97499">
      <w:pPr>
        <w:spacing w:after="0" w:line="360" w:lineRule="auto"/>
        <w:ind w:left="-284"/>
        <w:jc w:val="both"/>
        <w:rPr>
          <w:rFonts w:ascii="Tahoma" w:hAnsi="Tahoma" w:cs="Tahoma"/>
        </w:rPr>
      </w:pPr>
    </w:p>
    <w:p w14:paraId="717FCE8B" w14:textId="77777777" w:rsidR="00F15679" w:rsidRDefault="00F15679" w:rsidP="00D97499">
      <w:pPr>
        <w:spacing w:after="0" w:line="360" w:lineRule="auto"/>
        <w:ind w:left="-284"/>
        <w:jc w:val="both"/>
        <w:rPr>
          <w:rFonts w:ascii="Tahoma" w:hAnsi="Tahoma" w:cs="Tahoma"/>
        </w:rPr>
      </w:pPr>
    </w:p>
    <w:p w14:paraId="25B76E05" w14:textId="77777777" w:rsidR="00F15679" w:rsidRDefault="00F15679" w:rsidP="00D97499">
      <w:pPr>
        <w:spacing w:after="0" w:line="360" w:lineRule="auto"/>
        <w:ind w:left="-284"/>
        <w:jc w:val="both"/>
        <w:rPr>
          <w:rFonts w:ascii="Tahoma" w:hAnsi="Tahoma" w:cs="Tahoma"/>
        </w:rPr>
      </w:pPr>
    </w:p>
    <w:p w14:paraId="0A5947A3" w14:textId="77777777" w:rsidR="00F15679" w:rsidRDefault="00F15679" w:rsidP="00D97499">
      <w:pPr>
        <w:spacing w:after="0" w:line="360" w:lineRule="auto"/>
        <w:ind w:left="-284"/>
        <w:jc w:val="both"/>
        <w:rPr>
          <w:rFonts w:ascii="Tahoma" w:hAnsi="Tahoma" w:cs="Tahoma"/>
        </w:rPr>
      </w:pPr>
    </w:p>
    <w:p w14:paraId="7BA8A553" w14:textId="77777777" w:rsidR="00F15679" w:rsidRDefault="00F15679" w:rsidP="00D97499">
      <w:pPr>
        <w:spacing w:after="0" w:line="360" w:lineRule="auto"/>
        <w:ind w:left="-284"/>
        <w:jc w:val="both"/>
        <w:rPr>
          <w:rFonts w:ascii="Tahoma" w:hAnsi="Tahoma" w:cs="Tahoma"/>
        </w:rPr>
      </w:pPr>
    </w:p>
    <w:p w14:paraId="6DB157B3" w14:textId="77777777" w:rsidR="00F15679" w:rsidRDefault="00F15679" w:rsidP="00D97499">
      <w:pPr>
        <w:spacing w:after="0" w:line="360" w:lineRule="auto"/>
        <w:ind w:left="-284"/>
        <w:jc w:val="both"/>
        <w:rPr>
          <w:rFonts w:ascii="Tahoma" w:hAnsi="Tahoma" w:cs="Tahoma"/>
        </w:rPr>
      </w:pPr>
    </w:p>
    <w:p w14:paraId="53A8F52F" w14:textId="77777777" w:rsidR="00F15679" w:rsidRDefault="00F15679" w:rsidP="00D97499">
      <w:pPr>
        <w:spacing w:after="0" w:line="360" w:lineRule="auto"/>
        <w:ind w:left="-284"/>
        <w:jc w:val="both"/>
        <w:rPr>
          <w:rFonts w:ascii="Tahoma" w:hAnsi="Tahoma" w:cs="Tahoma"/>
        </w:rPr>
      </w:pPr>
    </w:p>
    <w:p w14:paraId="1DA2A9FC" w14:textId="77777777" w:rsidR="00F15679" w:rsidRDefault="00F15679" w:rsidP="00D97499">
      <w:pPr>
        <w:spacing w:after="0" w:line="360" w:lineRule="auto"/>
        <w:ind w:left="-284"/>
        <w:jc w:val="both"/>
        <w:rPr>
          <w:rFonts w:ascii="Tahoma" w:hAnsi="Tahoma" w:cs="Tahoma"/>
        </w:rPr>
      </w:pPr>
    </w:p>
    <w:p w14:paraId="6C240860" w14:textId="77777777" w:rsidR="00F15679" w:rsidRDefault="00F15679" w:rsidP="00D97499">
      <w:pPr>
        <w:spacing w:after="0" w:line="360" w:lineRule="auto"/>
        <w:ind w:left="-284"/>
        <w:jc w:val="both"/>
        <w:rPr>
          <w:rFonts w:ascii="Tahoma" w:hAnsi="Tahoma" w:cs="Tahoma"/>
        </w:rPr>
      </w:pPr>
    </w:p>
    <w:p w14:paraId="7D7440C4" w14:textId="77777777" w:rsidR="00F15679" w:rsidRDefault="00F15679" w:rsidP="00D97499">
      <w:pPr>
        <w:spacing w:after="0" w:line="360" w:lineRule="auto"/>
        <w:ind w:left="-284"/>
        <w:jc w:val="both"/>
        <w:rPr>
          <w:rFonts w:ascii="Tahoma" w:hAnsi="Tahoma" w:cs="Tahoma"/>
        </w:rPr>
      </w:pPr>
    </w:p>
    <w:p w14:paraId="5854BCC4" w14:textId="77777777" w:rsidR="00F15679" w:rsidRDefault="00F15679" w:rsidP="00D97499">
      <w:pPr>
        <w:spacing w:after="0" w:line="360" w:lineRule="auto"/>
        <w:ind w:left="-284"/>
        <w:jc w:val="both"/>
        <w:rPr>
          <w:rFonts w:ascii="Tahoma" w:hAnsi="Tahoma" w:cs="Tahoma"/>
        </w:rPr>
      </w:pPr>
    </w:p>
    <w:p w14:paraId="6A5FD1FA" w14:textId="77777777" w:rsidR="00F15679" w:rsidRDefault="00F15679" w:rsidP="00D97499">
      <w:pPr>
        <w:spacing w:after="0" w:line="360" w:lineRule="auto"/>
        <w:ind w:left="-284"/>
        <w:jc w:val="both"/>
        <w:rPr>
          <w:rFonts w:ascii="Tahoma" w:hAnsi="Tahoma" w:cs="Tahoma"/>
        </w:rPr>
      </w:pPr>
    </w:p>
    <w:p w14:paraId="29FCDE38" w14:textId="77777777" w:rsidR="00F15679" w:rsidRDefault="00F15679" w:rsidP="00D97499">
      <w:pPr>
        <w:spacing w:after="0" w:line="360" w:lineRule="auto"/>
        <w:ind w:left="-284"/>
        <w:jc w:val="both"/>
        <w:rPr>
          <w:rFonts w:ascii="Tahoma" w:hAnsi="Tahoma" w:cs="Tahoma"/>
        </w:rPr>
      </w:pPr>
    </w:p>
    <w:p w14:paraId="5E1462EC" w14:textId="77777777" w:rsidR="00F15679" w:rsidRDefault="00F15679" w:rsidP="00D97499">
      <w:pPr>
        <w:spacing w:after="0" w:line="360" w:lineRule="auto"/>
        <w:ind w:left="-284"/>
        <w:jc w:val="both"/>
        <w:rPr>
          <w:rFonts w:ascii="Tahoma" w:hAnsi="Tahoma" w:cs="Tahoma"/>
        </w:rPr>
      </w:pPr>
    </w:p>
    <w:p w14:paraId="3002D9D9" w14:textId="77777777" w:rsidR="00F15679" w:rsidRDefault="00F15679" w:rsidP="00D97499">
      <w:pPr>
        <w:spacing w:after="0" w:line="360" w:lineRule="auto"/>
        <w:ind w:left="-284"/>
        <w:jc w:val="both"/>
        <w:rPr>
          <w:rFonts w:ascii="Tahoma" w:hAnsi="Tahoma" w:cs="Tahoma"/>
        </w:rPr>
      </w:pPr>
    </w:p>
    <w:p w14:paraId="65B750D1" w14:textId="77777777" w:rsidR="00F15679" w:rsidRDefault="00F15679" w:rsidP="00D97499">
      <w:pPr>
        <w:spacing w:after="0" w:line="360" w:lineRule="auto"/>
        <w:ind w:left="-284"/>
        <w:jc w:val="both"/>
        <w:rPr>
          <w:rFonts w:ascii="Tahoma" w:hAnsi="Tahoma" w:cs="Tahoma"/>
        </w:rPr>
      </w:pPr>
    </w:p>
    <w:p w14:paraId="6CFA0FD6" w14:textId="77777777" w:rsidR="00F15679" w:rsidRPr="002A1B5B" w:rsidRDefault="00F15679" w:rsidP="00D97499">
      <w:pPr>
        <w:spacing w:after="0" w:line="360" w:lineRule="auto"/>
        <w:ind w:left="-284"/>
        <w:jc w:val="both"/>
        <w:rPr>
          <w:rFonts w:ascii="Tahoma" w:hAnsi="Tahoma" w:cs="Tahoma"/>
        </w:rPr>
      </w:pPr>
    </w:p>
    <w:p w14:paraId="00247E80" w14:textId="77777777" w:rsidR="00664BD4" w:rsidRDefault="00664BD4" w:rsidP="00D97499">
      <w:pPr>
        <w:spacing w:after="0" w:line="360" w:lineRule="auto"/>
        <w:ind w:left="-284" w:firstLine="284"/>
        <w:jc w:val="both"/>
        <w:rPr>
          <w:rFonts w:ascii="Tahoma" w:hAnsi="Tahoma" w:cs="Tahoma"/>
          <w:color w:val="0070C0"/>
          <w:sz w:val="28"/>
          <w:szCs w:val="28"/>
        </w:rPr>
      </w:pPr>
    </w:p>
    <w:p w14:paraId="78C89A9C" w14:textId="6201F518" w:rsidR="004B2A05" w:rsidRPr="00D838CF" w:rsidRDefault="00E8083E" w:rsidP="00D97499">
      <w:pPr>
        <w:spacing w:after="0" w:line="360" w:lineRule="auto"/>
        <w:ind w:left="-284" w:firstLine="284"/>
        <w:jc w:val="both"/>
        <w:rPr>
          <w:rFonts w:ascii="Tahoma" w:hAnsi="Tahoma" w:cs="Tahoma"/>
          <w:sz w:val="28"/>
          <w:szCs w:val="28"/>
        </w:rPr>
      </w:pPr>
      <w:r w:rsidRPr="00D838CF">
        <w:rPr>
          <w:rFonts w:ascii="Tahoma" w:hAnsi="Tahoma" w:cs="Tahoma"/>
          <w:color w:val="0070C0"/>
          <w:sz w:val="28"/>
          <w:szCs w:val="28"/>
        </w:rPr>
        <w:t>Defining o</w:t>
      </w:r>
      <w:r w:rsidR="00116B91" w:rsidRPr="00D838CF">
        <w:rPr>
          <w:rFonts w:ascii="Tahoma" w:hAnsi="Tahoma" w:cs="Tahoma"/>
          <w:color w:val="0070C0"/>
          <w:sz w:val="28"/>
          <w:szCs w:val="28"/>
        </w:rPr>
        <w:t xml:space="preserve">ur safety </w:t>
      </w:r>
      <w:r w:rsidRPr="00D838CF">
        <w:rPr>
          <w:rFonts w:ascii="Tahoma" w:hAnsi="Tahoma" w:cs="Tahoma"/>
          <w:color w:val="0070C0"/>
          <w:sz w:val="28"/>
          <w:szCs w:val="28"/>
        </w:rPr>
        <w:t>incident profile</w:t>
      </w:r>
    </w:p>
    <w:p w14:paraId="17A9A972" w14:textId="77777777" w:rsidR="000A1FF4" w:rsidRPr="002A1B5B" w:rsidRDefault="00E50190" w:rsidP="00D97499">
      <w:pPr>
        <w:spacing w:line="360" w:lineRule="auto"/>
        <w:ind w:left="-284"/>
        <w:jc w:val="both"/>
        <w:rPr>
          <w:rFonts w:ascii="Tahoma" w:hAnsi="Tahoma" w:cs="Tahoma"/>
        </w:rPr>
      </w:pPr>
      <w:r w:rsidRPr="002A1B5B">
        <w:rPr>
          <w:rFonts w:ascii="Tahoma" w:hAnsi="Tahoma" w:cs="Tahoma"/>
        </w:rPr>
        <w:t xml:space="preserve">Some types of patient safety incident need to be responded to in a particular way as set out in national policies or regulations. This may include review by or referral to another body or team, depending on the nature of the event. </w:t>
      </w:r>
      <w:r w:rsidR="00470D0B" w:rsidRPr="002A1B5B">
        <w:rPr>
          <w:rFonts w:ascii="Tahoma" w:hAnsi="Tahoma" w:cs="Tahoma"/>
        </w:rPr>
        <w:t xml:space="preserve">For Compass and our work with early intervention, prevention and promotion in the community many of these national priorities are not </w:t>
      </w:r>
      <w:r w:rsidR="00BE6FF3" w:rsidRPr="002A1B5B">
        <w:rPr>
          <w:rFonts w:ascii="Tahoma" w:hAnsi="Tahoma" w:cs="Tahoma"/>
        </w:rPr>
        <w:t>relevant to our scope of work.</w:t>
      </w:r>
      <w:r w:rsidR="004A4FC5" w:rsidRPr="002A1B5B">
        <w:rPr>
          <w:rFonts w:ascii="Tahoma" w:hAnsi="Tahoma" w:cs="Tahoma"/>
        </w:rPr>
        <w:t xml:space="preserve"> </w:t>
      </w:r>
    </w:p>
    <w:p w14:paraId="2D1C05CC" w14:textId="2B5D506B" w:rsidR="00E50190" w:rsidRPr="002A1B5B" w:rsidRDefault="00B4156F" w:rsidP="00D97499">
      <w:pPr>
        <w:spacing w:line="360" w:lineRule="auto"/>
        <w:ind w:left="-284"/>
        <w:jc w:val="both"/>
        <w:rPr>
          <w:rFonts w:ascii="Tahoma" w:hAnsi="Tahoma" w:cs="Tahoma"/>
          <w:color w:val="000000"/>
        </w:rPr>
      </w:pPr>
      <w:r w:rsidRPr="002A1B5B">
        <w:rPr>
          <w:rFonts w:ascii="Tahoma" w:hAnsi="Tahoma" w:cs="Tahoma"/>
        </w:rPr>
        <w:t xml:space="preserve">Compass may work with children, young people or families who are impacted by </w:t>
      </w:r>
      <w:r w:rsidR="00273704" w:rsidRPr="002A1B5B">
        <w:rPr>
          <w:rFonts w:ascii="Tahoma" w:hAnsi="Tahoma" w:cs="Tahoma"/>
        </w:rPr>
        <w:t>incidents defined as a national priority</w:t>
      </w:r>
      <w:r w:rsidR="002F786E" w:rsidRPr="002A1B5B">
        <w:rPr>
          <w:rFonts w:ascii="Tahoma" w:hAnsi="Tahoma" w:cs="Tahoma"/>
        </w:rPr>
        <w:t>,</w:t>
      </w:r>
      <w:r w:rsidR="00273704" w:rsidRPr="002A1B5B">
        <w:rPr>
          <w:rFonts w:ascii="Tahoma" w:hAnsi="Tahoma" w:cs="Tahoma"/>
        </w:rPr>
        <w:t xml:space="preserve"> including:</w:t>
      </w:r>
    </w:p>
    <w:p w14:paraId="3CF0ECE9" w14:textId="37136A11" w:rsidR="00E50190" w:rsidRPr="002A1B5B" w:rsidRDefault="00FA4FE3" w:rsidP="00D97499">
      <w:pPr>
        <w:spacing w:line="360" w:lineRule="auto"/>
        <w:ind w:left="-284"/>
        <w:jc w:val="both"/>
        <w:rPr>
          <w:rFonts w:ascii="Tahoma" w:hAnsi="Tahoma" w:cs="Tahoma"/>
        </w:rPr>
      </w:pPr>
      <w:r w:rsidRPr="002A1B5B">
        <w:rPr>
          <w:rFonts w:ascii="Tahoma" w:hAnsi="Tahoma" w:cs="Tahoma"/>
        </w:rPr>
        <w:t>Deaths thought more likely than not due to problems in care</w:t>
      </w:r>
      <w:r w:rsidR="008D46DF" w:rsidRPr="002A1B5B">
        <w:rPr>
          <w:rFonts w:ascii="Tahoma" w:hAnsi="Tahoma" w:cs="Tahoma"/>
        </w:rPr>
        <w:t>.</w:t>
      </w:r>
    </w:p>
    <w:p w14:paraId="6766AD69" w14:textId="4CDC3614" w:rsidR="00FA4FE3" w:rsidRPr="002A1B5B" w:rsidRDefault="008D46DF" w:rsidP="00D97499">
      <w:pPr>
        <w:spacing w:line="360" w:lineRule="auto"/>
        <w:ind w:left="-284"/>
        <w:jc w:val="both"/>
        <w:rPr>
          <w:rFonts w:ascii="Tahoma" w:hAnsi="Tahoma" w:cs="Tahoma"/>
        </w:rPr>
      </w:pPr>
      <w:r w:rsidRPr="002A1B5B">
        <w:rPr>
          <w:rFonts w:ascii="Tahoma" w:hAnsi="Tahoma" w:cs="Tahoma"/>
        </w:rPr>
        <w:t>Child deaths.</w:t>
      </w:r>
    </w:p>
    <w:p w14:paraId="71522673" w14:textId="77777777" w:rsidR="00825AD8" w:rsidRPr="002A1B5B" w:rsidRDefault="00825AD8" w:rsidP="00D97499">
      <w:pPr>
        <w:spacing w:line="360" w:lineRule="auto"/>
        <w:ind w:left="-284"/>
        <w:jc w:val="both"/>
        <w:rPr>
          <w:rFonts w:ascii="Tahoma" w:hAnsi="Tahoma" w:cs="Tahoma"/>
        </w:rPr>
      </w:pPr>
      <w:r w:rsidRPr="002A1B5B">
        <w:rPr>
          <w:rFonts w:ascii="Tahoma" w:hAnsi="Tahoma" w:cs="Tahoma"/>
        </w:rPr>
        <w:t xml:space="preserve">Safeguarding incidents in which: </w:t>
      </w:r>
    </w:p>
    <w:p w14:paraId="68223A86" w14:textId="77777777" w:rsidR="00825AD8" w:rsidRPr="002A1B5B" w:rsidRDefault="00825AD8" w:rsidP="00D97499">
      <w:pPr>
        <w:spacing w:line="360" w:lineRule="auto"/>
        <w:ind w:left="720"/>
        <w:jc w:val="both"/>
        <w:rPr>
          <w:rFonts w:ascii="Tahoma" w:hAnsi="Tahoma" w:cs="Tahoma"/>
        </w:rPr>
      </w:pPr>
      <w:r w:rsidRPr="002A1B5B">
        <w:rPr>
          <w:rFonts w:ascii="Tahoma" w:hAnsi="Tahoma" w:cs="Tahoma"/>
        </w:rPr>
        <w:t xml:space="preserve">• Babies, child and young people are on a child protection plan; looked after plan or a victim of wilful neglect or domestic abuse/ violence. </w:t>
      </w:r>
    </w:p>
    <w:p w14:paraId="27BDB8BF" w14:textId="77777777" w:rsidR="00825AD8" w:rsidRPr="002A1B5B" w:rsidRDefault="00825AD8" w:rsidP="00D97499">
      <w:pPr>
        <w:spacing w:line="360" w:lineRule="auto"/>
        <w:ind w:left="720"/>
        <w:jc w:val="both"/>
        <w:rPr>
          <w:rFonts w:ascii="Tahoma" w:hAnsi="Tahoma" w:cs="Tahoma"/>
        </w:rPr>
      </w:pPr>
      <w:r w:rsidRPr="002A1B5B">
        <w:rPr>
          <w:rFonts w:ascii="Tahoma" w:hAnsi="Tahoma" w:cs="Tahoma"/>
        </w:rPr>
        <w:t xml:space="preserve">• Adults (over 18 years old) are in receipt of care and support needs from their Local Authority </w:t>
      </w:r>
    </w:p>
    <w:p w14:paraId="60C28613" w14:textId="77777777" w:rsidR="009C47A8" w:rsidRPr="002A1B5B" w:rsidRDefault="00825AD8" w:rsidP="00D97499">
      <w:pPr>
        <w:spacing w:line="360" w:lineRule="auto"/>
        <w:ind w:left="720"/>
        <w:jc w:val="both"/>
        <w:rPr>
          <w:rFonts w:ascii="Tahoma" w:hAnsi="Tahoma" w:cs="Tahoma"/>
        </w:rPr>
      </w:pPr>
      <w:r w:rsidRPr="002A1B5B">
        <w:rPr>
          <w:rFonts w:ascii="Tahoma" w:hAnsi="Tahoma" w:cs="Tahoma"/>
        </w:rPr>
        <w:t>• The incident relates to FGM, Prevent (radicalisation to terrorism); modern slavery &amp; human trafficking or domestic abuse / violence.</w:t>
      </w:r>
    </w:p>
    <w:p w14:paraId="40D00AEE" w14:textId="4612F80B" w:rsidR="00067E5F" w:rsidRPr="002A1B5B" w:rsidRDefault="00067E5F" w:rsidP="00D97499">
      <w:pPr>
        <w:spacing w:line="360" w:lineRule="auto"/>
        <w:jc w:val="both"/>
        <w:rPr>
          <w:rFonts w:ascii="Tahoma" w:hAnsi="Tahoma" w:cs="Tahoma"/>
        </w:rPr>
      </w:pPr>
      <w:r w:rsidRPr="002A1B5B">
        <w:rPr>
          <w:rFonts w:ascii="Tahoma" w:hAnsi="Tahoma" w:cs="Tahoma"/>
        </w:rPr>
        <w:t>Compass response to these national priorities are</w:t>
      </w:r>
      <w:r w:rsidR="002F786E" w:rsidRPr="002A1B5B">
        <w:rPr>
          <w:rFonts w:ascii="Tahoma" w:hAnsi="Tahoma" w:cs="Tahoma"/>
        </w:rPr>
        <w:t xml:space="preserve"> detailed here</w:t>
      </w:r>
      <w:r w:rsidRPr="002A1B5B">
        <w:rPr>
          <w:rFonts w:ascii="Tahoma" w:hAnsi="Tahoma" w:cs="Tahoma"/>
        </w:rPr>
        <w:t xml:space="preserve"> in the plan</w:t>
      </w:r>
      <w:r w:rsidR="002F786E" w:rsidRPr="002A1B5B">
        <w:rPr>
          <w:rFonts w:ascii="Tahoma" w:hAnsi="Tahoma" w:cs="Tahoma"/>
        </w:rPr>
        <w:t>.</w:t>
      </w:r>
    </w:p>
    <w:p w14:paraId="13D3E9B5" w14:textId="00F4A872" w:rsidR="00762D85" w:rsidRPr="002A1B5B" w:rsidRDefault="00EA5853" w:rsidP="00D97499">
      <w:pPr>
        <w:spacing w:line="360" w:lineRule="auto"/>
        <w:ind w:left="-284"/>
        <w:jc w:val="both"/>
        <w:rPr>
          <w:rFonts w:ascii="Tahoma" w:hAnsi="Tahoma" w:cs="Tahoma"/>
        </w:rPr>
      </w:pPr>
      <w:r w:rsidRPr="002A1B5B">
        <w:rPr>
          <w:rFonts w:ascii="Tahoma" w:hAnsi="Tahoma" w:cs="Tahoma"/>
          <w:color w:val="000000"/>
        </w:rPr>
        <w:t xml:space="preserve">To ensure that we understood </w:t>
      </w:r>
      <w:r w:rsidR="009C47A8" w:rsidRPr="002A1B5B">
        <w:rPr>
          <w:rFonts w:ascii="Tahoma" w:hAnsi="Tahoma" w:cs="Tahoma"/>
          <w:color w:val="000000"/>
        </w:rPr>
        <w:t xml:space="preserve">Compass local </w:t>
      </w:r>
      <w:r w:rsidRPr="002A1B5B">
        <w:rPr>
          <w:rFonts w:ascii="Tahoma" w:hAnsi="Tahoma" w:cs="Tahoma"/>
          <w:color w:val="000000"/>
        </w:rPr>
        <w:t xml:space="preserve">safety incident profile, </w:t>
      </w:r>
      <w:r w:rsidR="009C47A8" w:rsidRPr="002A1B5B">
        <w:rPr>
          <w:rFonts w:ascii="Tahoma" w:hAnsi="Tahoma" w:cs="Tahoma"/>
          <w:color w:val="000000"/>
        </w:rPr>
        <w:t>and to</w:t>
      </w:r>
      <w:r w:rsidRPr="002A1B5B">
        <w:rPr>
          <w:rFonts w:ascii="Tahoma" w:hAnsi="Tahoma" w:cs="Tahoma"/>
          <w:color w:val="000000"/>
        </w:rPr>
        <w:t xml:space="preserve"> identify </w:t>
      </w:r>
      <w:r w:rsidR="004C4172" w:rsidRPr="002A1B5B">
        <w:rPr>
          <w:rFonts w:ascii="Tahoma" w:hAnsi="Tahoma" w:cs="Tahoma"/>
          <w:color w:val="000000"/>
        </w:rPr>
        <w:t>our incident response priorities</w:t>
      </w:r>
      <w:r w:rsidRPr="002A1B5B">
        <w:rPr>
          <w:rFonts w:ascii="Tahoma" w:hAnsi="Tahoma" w:cs="Tahoma"/>
          <w:color w:val="000000"/>
        </w:rPr>
        <w:t xml:space="preserve">, we have reviewed </w:t>
      </w:r>
      <w:r w:rsidRPr="002A1B5B">
        <w:rPr>
          <w:rFonts w:ascii="Tahoma" w:hAnsi="Tahoma" w:cs="Tahoma"/>
        </w:rPr>
        <w:t>d</w:t>
      </w:r>
      <w:r w:rsidR="00762D85" w:rsidRPr="002A1B5B">
        <w:rPr>
          <w:rFonts w:ascii="Tahoma" w:hAnsi="Tahoma" w:cs="Tahoma"/>
        </w:rPr>
        <w:t>ata from</w:t>
      </w:r>
      <w:r w:rsidR="007914BF" w:rsidRPr="002A1B5B">
        <w:rPr>
          <w:rFonts w:ascii="Tahoma" w:hAnsi="Tahoma" w:cs="Tahoma"/>
        </w:rPr>
        <w:t xml:space="preserve"> April 2021 – December 2023</w:t>
      </w:r>
      <w:r w:rsidR="00762D85" w:rsidRPr="002A1B5B">
        <w:rPr>
          <w:rFonts w:ascii="Tahoma" w:hAnsi="Tahoma" w:cs="Tahoma"/>
        </w:rPr>
        <w:t xml:space="preserve"> </w:t>
      </w:r>
      <w:r w:rsidR="007914BF" w:rsidRPr="002A1B5B">
        <w:rPr>
          <w:rFonts w:ascii="Tahoma" w:hAnsi="Tahoma" w:cs="Tahoma"/>
        </w:rPr>
        <w:t xml:space="preserve">for </w:t>
      </w:r>
      <w:r w:rsidR="00762D85" w:rsidRPr="002A1B5B">
        <w:rPr>
          <w:rFonts w:ascii="Tahoma" w:hAnsi="Tahoma" w:cs="Tahoma"/>
        </w:rPr>
        <w:t>all incident</w:t>
      </w:r>
      <w:r w:rsidR="0037246F" w:rsidRPr="002A1B5B">
        <w:rPr>
          <w:rFonts w:ascii="Tahoma" w:hAnsi="Tahoma" w:cs="Tahoma"/>
        </w:rPr>
        <w:t>s</w:t>
      </w:r>
      <w:r w:rsidRPr="002A1B5B">
        <w:rPr>
          <w:rFonts w:ascii="Tahoma" w:hAnsi="Tahoma" w:cs="Tahoma"/>
        </w:rPr>
        <w:t xml:space="preserve"> and complaints</w:t>
      </w:r>
      <w:r w:rsidR="00762D85" w:rsidRPr="002A1B5B">
        <w:rPr>
          <w:rFonts w:ascii="Tahoma" w:hAnsi="Tahoma" w:cs="Tahoma"/>
        </w:rPr>
        <w:t xml:space="preserve"> report</w:t>
      </w:r>
      <w:r w:rsidRPr="002A1B5B">
        <w:rPr>
          <w:rFonts w:ascii="Tahoma" w:hAnsi="Tahoma" w:cs="Tahoma"/>
        </w:rPr>
        <w:t>ed</w:t>
      </w:r>
      <w:r w:rsidR="00762D85" w:rsidRPr="002A1B5B">
        <w:rPr>
          <w:rFonts w:ascii="Tahoma" w:hAnsi="Tahoma" w:cs="Tahoma"/>
        </w:rPr>
        <w:t xml:space="preserve"> to Clinical Governance Group (</w:t>
      </w:r>
      <w:r w:rsidR="00F55357" w:rsidRPr="002A1B5B">
        <w:rPr>
          <w:rFonts w:ascii="Tahoma" w:hAnsi="Tahoma" w:cs="Tahoma"/>
        </w:rPr>
        <w:t xml:space="preserve">advisory group </w:t>
      </w:r>
      <w:r w:rsidR="00762D85" w:rsidRPr="002A1B5B">
        <w:rPr>
          <w:rFonts w:ascii="Tahoma" w:hAnsi="Tahoma" w:cs="Tahoma"/>
        </w:rPr>
        <w:t xml:space="preserve"> </w:t>
      </w:r>
      <w:r w:rsidR="00F55357" w:rsidRPr="002A1B5B">
        <w:rPr>
          <w:rFonts w:ascii="Tahoma" w:hAnsi="Tahoma" w:cs="Tahoma"/>
        </w:rPr>
        <w:t>to</w:t>
      </w:r>
      <w:r w:rsidR="00762D85" w:rsidRPr="002A1B5B">
        <w:rPr>
          <w:rFonts w:ascii="Tahoma" w:hAnsi="Tahoma" w:cs="Tahoma"/>
        </w:rPr>
        <w:t xml:space="preserve"> the </w:t>
      </w:r>
      <w:r w:rsidR="00F55357" w:rsidRPr="002A1B5B">
        <w:rPr>
          <w:rFonts w:ascii="Tahoma" w:hAnsi="Tahoma" w:cs="Tahoma"/>
        </w:rPr>
        <w:t xml:space="preserve">Compass </w:t>
      </w:r>
      <w:r w:rsidR="00762D85" w:rsidRPr="002A1B5B">
        <w:rPr>
          <w:rFonts w:ascii="Tahoma" w:hAnsi="Tahoma" w:cs="Tahoma"/>
        </w:rPr>
        <w:t>Board</w:t>
      </w:r>
      <w:r w:rsidR="00F55357" w:rsidRPr="002A1B5B">
        <w:rPr>
          <w:rFonts w:ascii="Tahoma" w:hAnsi="Tahoma" w:cs="Tahoma"/>
        </w:rPr>
        <w:t xml:space="preserve"> of Directors</w:t>
      </w:r>
      <w:r w:rsidR="00762D85" w:rsidRPr="002A1B5B">
        <w:rPr>
          <w:rFonts w:ascii="Tahoma" w:hAnsi="Tahoma" w:cs="Tahoma"/>
        </w:rPr>
        <w:t>)</w:t>
      </w:r>
      <w:r w:rsidR="0037246F" w:rsidRPr="002A1B5B">
        <w:rPr>
          <w:rFonts w:ascii="Tahoma" w:hAnsi="Tahoma" w:cs="Tahoma"/>
        </w:rPr>
        <w:t>.</w:t>
      </w:r>
      <w:r w:rsidR="00762D85" w:rsidRPr="002A1B5B">
        <w:rPr>
          <w:rFonts w:ascii="Tahoma" w:hAnsi="Tahoma" w:cs="Tahoma"/>
        </w:rPr>
        <w:t xml:space="preserve"> </w:t>
      </w:r>
      <w:r w:rsidR="0037246F" w:rsidRPr="002A1B5B">
        <w:rPr>
          <w:rFonts w:ascii="Tahoma" w:hAnsi="Tahoma" w:cs="Tahoma"/>
        </w:rPr>
        <w:t xml:space="preserve">There have been very few safety incidents with no </w:t>
      </w:r>
      <w:r w:rsidR="007914BF" w:rsidRPr="002A1B5B">
        <w:rPr>
          <w:rFonts w:ascii="Tahoma" w:hAnsi="Tahoma" w:cs="Tahoma"/>
        </w:rPr>
        <w:t xml:space="preserve">evidence of </w:t>
      </w:r>
      <w:r w:rsidR="004C4172" w:rsidRPr="002A1B5B">
        <w:rPr>
          <w:rFonts w:ascii="Tahoma" w:hAnsi="Tahoma" w:cs="Tahoma"/>
        </w:rPr>
        <w:t xml:space="preserve">significant </w:t>
      </w:r>
      <w:r w:rsidR="007914BF" w:rsidRPr="002A1B5B">
        <w:rPr>
          <w:rFonts w:ascii="Tahoma" w:hAnsi="Tahoma" w:cs="Tahoma"/>
        </w:rPr>
        <w:t xml:space="preserve">repeating </w:t>
      </w:r>
      <w:r w:rsidR="0037246F" w:rsidRPr="002A1B5B">
        <w:rPr>
          <w:rFonts w:ascii="Tahoma" w:hAnsi="Tahoma" w:cs="Tahoma"/>
        </w:rPr>
        <w:t xml:space="preserve">themes or ongoing risk. </w:t>
      </w:r>
    </w:p>
    <w:p w14:paraId="16C3B1E9" w14:textId="0C7D4F6C" w:rsidR="002C4A7B" w:rsidRPr="002A1B5B" w:rsidRDefault="00EA5853" w:rsidP="00D97499">
      <w:pPr>
        <w:spacing w:line="360" w:lineRule="auto"/>
        <w:ind w:left="-284"/>
        <w:jc w:val="both"/>
        <w:rPr>
          <w:rFonts w:ascii="Tahoma" w:hAnsi="Tahoma" w:cs="Tahoma"/>
        </w:rPr>
      </w:pPr>
      <w:r w:rsidRPr="002A1B5B">
        <w:rPr>
          <w:rFonts w:ascii="Tahoma" w:hAnsi="Tahoma" w:cs="Tahoma"/>
        </w:rPr>
        <w:t>We have sought feedback from across the organisation including practitioners, managers, clinical leaders and members of the Board.</w:t>
      </w:r>
    </w:p>
    <w:p w14:paraId="77CB3769" w14:textId="6F0DCF14" w:rsidR="002C4A7B" w:rsidRPr="002A1B5B" w:rsidRDefault="004C4172" w:rsidP="00D97499">
      <w:pPr>
        <w:spacing w:line="360" w:lineRule="auto"/>
        <w:ind w:left="-284"/>
        <w:jc w:val="both"/>
        <w:rPr>
          <w:rFonts w:ascii="Tahoma" w:hAnsi="Tahoma" w:cs="Tahoma"/>
        </w:rPr>
      </w:pPr>
      <w:r w:rsidRPr="002A1B5B">
        <w:rPr>
          <w:rFonts w:ascii="Tahoma" w:hAnsi="Tahoma" w:cs="Tahoma"/>
        </w:rPr>
        <w:t>We</w:t>
      </w:r>
      <w:r w:rsidR="002C4A7B" w:rsidRPr="002A1B5B">
        <w:rPr>
          <w:rFonts w:ascii="Tahoma" w:hAnsi="Tahoma" w:cs="Tahoma"/>
        </w:rPr>
        <w:t xml:space="preserve"> have identified</w:t>
      </w:r>
      <w:r w:rsidR="0037246F" w:rsidRPr="002A1B5B">
        <w:rPr>
          <w:rFonts w:ascii="Tahoma" w:hAnsi="Tahoma" w:cs="Tahoma"/>
        </w:rPr>
        <w:t xml:space="preserve"> that 2 incidents over the review period included concern regarding the practice in clinic</w:t>
      </w:r>
      <w:r w:rsidR="006F47E4" w:rsidRPr="002A1B5B">
        <w:rPr>
          <w:rFonts w:ascii="Tahoma" w:hAnsi="Tahoma" w:cs="Tahoma"/>
        </w:rPr>
        <w:t>al</w:t>
      </w:r>
      <w:r w:rsidR="0037246F" w:rsidRPr="002A1B5B">
        <w:rPr>
          <w:rFonts w:ascii="Tahoma" w:hAnsi="Tahoma" w:cs="Tahoma"/>
        </w:rPr>
        <w:t xml:space="preserve"> risk assessment</w:t>
      </w:r>
      <w:r w:rsidR="00202E13" w:rsidRPr="002A1B5B">
        <w:rPr>
          <w:rFonts w:ascii="Tahoma" w:hAnsi="Tahoma" w:cs="Tahoma"/>
        </w:rPr>
        <w:t xml:space="preserve"> and this is also included in our response plan below</w:t>
      </w:r>
      <w:r w:rsidRPr="002A1B5B">
        <w:rPr>
          <w:rFonts w:ascii="Tahoma" w:hAnsi="Tahoma" w:cs="Tahoma"/>
        </w:rPr>
        <w:t xml:space="preserve"> as a local priority</w:t>
      </w:r>
      <w:r w:rsidR="00202E13" w:rsidRPr="002A1B5B">
        <w:rPr>
          <w:rFonts w:ascii="Tahoma" w:hAnsi="Tahoma" w:cs="Tahoma"/>
        </w:rPr>
        <w:t>.</w:t>
      </w:r>
    </w:p>
    <w:p w14:paraId="0CD6D7FA" w14:textId="77777777" w:rsidR="00D97499" w:rsidRPr="002A1B5B" w:rsidRDefault="00D97499" w:rsidP="00F15679">
      <w:pPr>
        <w:spacing w:line="360" w:lineRule="auto"/>
        <w:jc w:val="both"/>
        <w:rPr>
          <w:rFonts w:ascii="Tahoma" w:hAnsi="Tahoma" w:cs="Tahoma"/>
        </w:rPr>
      </w:pPr>
    </w:p>
    <w:p w14:paraId="38C2918B" w14:textId="3E176E96" w:rsidR="004C26B2" w:rsidRPr="00D838CF" w:rsidRDefault="00574AE9" w:rsidP="00D97499">
      <w:pPr>
        <w:pStyle w:val="Heading2"/>
        <w:spacing w:before="280" w:after="280"/>
        <w:ind w:left="-284" w:firstLine="284"/>
        <w:rPr>
          <w:rFonts w:ascii="Tahoma" w:hAnsi="Tahoma" w:cs="Tahoma"/>
          <w:color w:val="0070C0"/>
          <w:szCs w:val="28"/>
        </w:rPr>
      </w:pPr>
      <w:r w:rsidRPr="00D838CF">
        <w:rPr>
          <w:rFonts w:ascii="Tahoma" w:hAnsi="Tahoma" w:cs="Tahoma"/>
          <w:color w:val="0070C0"/>
          <w:szCs w:val="28"/>
        </w:rPr>
        <w:t xml:space="preserve">Defining our </w:t>
      </w:r>
      <w:r w:rsidR="00F87477" w:rsidRPr="00D838CF">
        <w:rPr>
          <w:rFonts w:ascii="Tahoma" w:hAnsi="Tahoma" w:cs="Tahoma"/>
          <w:color w:val="0070C0"/>
          <w:szCs w:val="28"/>
        </w:rPr>
        <w:t xml:space="preserve">safety </w:t>
      </w:r>
      <w:r w:rsidRPr="00D838CF">
        <w:rPr>
          <w:rFonts w:ascii="Tahoma" w:hAnsi="Tahoma" w:cs="Tahoma"/>
          <w:color w:val="0070C0"/>
          <w:szCs w:val="28"/>
        </w:rPr>
        <w:t>improvement profile</w:t>
      </w:r>
    </w:p>
    <w:p w14:paraId="2C3FBBA1" w14:textId="037DF598" w:rsidR="00B863FE" w:rsidRPr="002A1B5B" w:rsidRDefault="00B863FE" w:rsidP="00D97499">
      <w:pPr>
        <w:autoSpaceDE w:val="0"/>
        <w:autoSpaceDN w:val="0"/>
        <w:adjustRightInd w:val="0"/>
        <w:spacing w:after="0" w:line="360" w:lineRule="auto"/>
        <w:ind w:left="-284" w:right="-306"/>
        <w:jc w:val="both"/>
        <w:rPr>
          <w:rFonts w:ascii="Tahoma" w:eastAsiaTheme="majorEastAsia" w:hAnsi="Tahoma" w:cs="Tahoma"/>
          <w:bCs/>
          <w:color w:val="0070C0"/>
        </w:rPr>
      </w:pPr>
      <w:r w:rsidRPr="002A1B5B">
        <w:rPr>
          <w:rFonts w:ascii="Tahoma" w:hAnsi="Tahoma" w:cs="Tahoma"/>
        </w:rPr>
        <w:t xml:space="preserve">Safety Incident Investigations (SIIs) are </w:t>
      </w:r>
      <w:r w:rsidR="006D7F43" w:rsidRPr="002A1B5B">
        <w:rPr>
          <w:rFonts w:ascii="Tahoma" w:hAnsi="Tahoma" w:cs="Tahoma"/>
        </w:rPr>
        <w:t>Compass’s</w:t>
      </w:r>
      <w:r w:rsidRPr="002A1B5B">
        <w:rPr>
          <w:rFonts w:ascii="Tahoma" w:hAnsi="Tahoma" w:cs="Tahoma"/>
        </w:rPr>
        <w:t xml:space="preserve"> most </w:t>
      </w:r>
      <w:r w:rsidR="007F19EC" w:rsidRPr="002A1B5B">
        <w:rPr>
          <w:rFonts w:ascii="Tahoma" w:hAnsi="Tahoma" w:cs="Tahoma"/>
        </w:rPr>
        <w:t>in-depth</w:t>
      </w:r>
      <w:r w:rsidRPr="002A1B5B">
        <w:rPr>
          <w:rFonts w:ascii="Tahoma" w:hAnsi="Tahoma" w:cs="Tahoma"/>
        </w:rPr>
        <w:t xml:space="preserve"> investigation response for incidents. In addition to those that are mandated nationally, Compass will carry out SIIs for the priority area identified in this plan </w:t>
      </w:r>
      <w:r w:rsidR="00DC6FC2" w:rsidRPr="002A1B5B">
        <w:rPr>
          <w:rFonts w:ascii="Tahoma" w:hAnsi="Tahoma" w:cs="Tahoma"/>
        </w:rPr>
        <w:t>and</w:t>
      </w:r>
      <w:r w:rsidRPr="002A1B5B">
        <w:rPr>
          <w:rFonts w:ascii="Tahoma" w:hAnsi="Tahoma" w:cs="Tahoma"/>
        </w:rPr>
        <w:t xml:space="preserve"> any safety incident</w:t>
      </w:r>
      <w:r w:rsidR="007F19EC" w:rsidRPr="002A1B5B">
        <w:rPr>
          <w:rFonts w:ascii="Tahoma" w:hAnsi="Tahoma" w:cs="Tahoma"/>
        </w:rPr>
        <w:t>,</w:t>
      </w:r>
      <w:r w:rsidRPr="002A1B5B">
        <w:rPr>
          <w:rFonts w:ascii="Tahoma" w:hAnsi="Tahoma" w:cs="Tahoma"/>
        </w:rPr>
        <w:t xml:space="preserve"> event</w:t>
      </w:r>
      <w:r w:rsidR="007F19EC" w:rsidRPr="002A1B5B">
        <w:rPr>
          <w:rFonts w:ascii="Tahoma" w:hAnsi="Tahoma" w:cs="Tahoma"/>
        </w:rPr>
        <w:t xml:space="preserve"> or series of events</w:t>
      </w:r>
      <w:r w:rsidRPr="002A1B5B">
        <w:rPr>
          <w:rFonts w:ascii="Tahoma" w:hAnsi="Tahoma" w:cs="Tahoma"/>
        </w:rPr>
        <w:t xml:space="preserve"> with the potential for learning and improvement</w:t>
      </w:r>
      <w:r w:rsidR="00EB3363" w:rsidRPr="002A1B5B">
        <w:rPr>
          <w:rFonts w:ascii="Tahoma" w:hAnsi="Tahoma" w:cs="Tahoma"/>
        </w:rPr>
        <w:t>, this may include a series of no harm incidents where closer scrutiny of patterns may reduce likelihood and improve safety</w:t>
      </w:r>
      <w:r w:rsidRPr="002A1B5B">
        <w:rPr>
          <w:rFonts w:ascii="Tahoma" w:hAnsi="Tahoma" w:cs="Tahoma"/>
        </w:rPr>
        <w:t xml:space="preserve">. </w:t>
      </w:r>
    </w:p>
    <w:p w14:paraId="4FBBF71E" w14:textId="353BE255" w:rsidR="00694B88" w:rsidRPr="002A1B5B" w:rsidRDefault="00694B88" w:rsidP="00D97499">
      <w:pPr>
        <w:spacing w:before="360" w:after="0" w:line="360" w:lineRule="auto"/>
        <w:ind w:left="-284" w:right="-329"/>
        <w:jc w:val="both"/>
        <w:rPr>
          <w:rFonts w:ascii="Tahoma" w:hAnsi="Tahoma" w:cs="Tahoma"/>
        </w:rPr>
      </w:pPr>
      <w:r w:rsidRPr="002A1B5B">
        <w:rPr>
          <w:rFonts w:ascii="Tahoma" w:hAnsi="Tahoma" w:cs="Tahoma"/>
        </w:rPr>
        <w:t>Incidents meeting the Never Events criteria</w:t>
      </w:r>
      <w:r w:rsidR="00EB3363" w:rsidRPr="002A1B5B">
        <w:rPr>
          <w:rStyle w:val="FootnoteReference"/>
          <w:rFonts w:ascii="Tahoma" w:hAnsi="Tahoma" w:cs="Tahoma"/>
        </w:rPr>
        <w:footnoteReference w:id="2"/>
      </w:r>
      <w:r w:rsidRPr="002A1B5B">
        <w:rPr>
          <w:rFonts w:ascii="Tahoma" w:hAnsi="Tahoma" w:cs="Tahoma"/>
        </w:rPr>
        <w:t xml:space="preserve"> (2018) or its replacement, and deaths thought more likely than not to have been due to problems in care require a locally-led and coordinated response but are highly unlikely to be led by Compass due to the nature of the care and services provided. Compass staff will always work collaboratively with commissioners and system partners and contribute to such safety responses as required. </w:t>
      </w:r>
    </w:p>
    <w:p w14:paraId="2428B1E1" w14:textId="4936BAAB" w:rsidR="00D97499" w:rsidRPr="002A1B5B" w:rsidRDefault="00694B88" w:rsidP="00D97499">
      <w:pPr>
        <w:spacing w:before="360" w:after="0" w:line="360" w:lineRule="auto"/>
        <w:ind w:left="-284" w:right="-329"/>
        <w:jc w:val="both"/>
        <w:rPr>
          <w:rFonts w:ascii="Tahoma" w:hAnsi="Tahoma" w:cs="Tahoma"/>
          <w:color w:val="000000" w:themeColor="text1"/>
        </w:rPr>
      </w:pPr>
      <w:r w:rsidRPr="002A1B5B">
        <w:rPr>
          <w:rFonts w:ascii="Tahoma" w:hAnsi="Tahoma" w:cs="Tahoma"/>
        </w:rPr>
        <w:t>The national safety incident framework sets no further national rules or thresholds to determine what method of response should be used to support learning and improvement. Instead, organisations are able to balance effort between learning through responding to incidents or exploring issues and improvement work</w:t>
      </w:r>
      <w:r w:rsidR="00132103" w:rsidRPr="002A1B5B">
        <w:rPr>
          <w:rFonts w:ascii="Tahoma" w:hAnsi="Tahoma" w:cs="Tahoma"/>
        </w:rPr>
        <w:t>.</w:t>
      </w:r>
    </w:p>
    <w:p w14:paraId="557A6469" w14:textId="77777777" w:rsidR="00D97499" w:rsidRPr="002A1B5B" w:rsidRDefault="00D97499" w:rsidP="00D97499">
      <w:pPr>
        <w:spacing w:before="360" w:after="0" w:line="360" w:lineRule="auto"/>
        <w:ind w:left="-284" w:right="-329"/>
        <w:jc w:val="both"/>
        <w:rPr>
          <w:rFonts w:ascii="Tahoma" w:hAnsi="Tahoma" w:cs="Tahoma"/>
          <w:color w:val="000000" w:themeColor="text1"/>
        </w:rPr>
      </w:pPr>
    </w:p>
    <w:p w14:paraId="69180B6F" w14:textId="77777777" w:rsidR="00BE1EE6" w:rsidRPr="002A1B5B" w:rsidRDefault="00BE1EE6" w:rsidP="00D97499">
      <w:pPr>
        <w:spacing w:before="360" w:after="0" w:line="360" w:lineRule="auto"/>
        <w:ind w:left="-284" w:right="-329"/>
        <w:jc w:val="both"/>
        <w:rPr>
          <w:rFonts w:ascii="Tahoma" w:hAnsi="Tahoma" w:cs="Tahoma"/>
          <w:color w:val="000000" w:themeColor="text1"/>
        </w:rPr>
      </w:pPr>
    </w:p>
    <w:p w14:paraId="4FF9D75E" w14:textId="77777777" w:rsidR="00BE1EE6" w:rsidRPr="002A1B5B" w:rsidRDefault="00BE1EE6" w:rsidP="00D97499">
      <w:pPr>
        <w:spacing w:before="360" w:after="0" w:line="360" w:lineRule="auto"/>
        <w:ind w:left="-284" w:right="-329"/>
        <w:jc w:val="both"/>
        <w:rPr>
          <w:rFonts w:ascii="Tahoma" w:hAnsi="Tahoma" w:cs="Tahoma"/>
          <w:color w:val="000000" w:themeColor="text1"/>
        </w:rPr>
      </w:pPr>
    </w:p>
    <w:p w14:paraId="1AD343AA" w14:textId="77777777" w:rsidR="00BE1EE6" w:rsidRPr="002A1B5B" w:rsidRDefault="00BE1EE6" w:rsidP="00D97499">
      <w:pPr>
        <w:spacing w:before="360" w:after="0" w:line="360" w:lineRule="auto"/>
        <w:ind w:left="-284" w:right="-329"/>
        <w:jc w:val="both"/>
        <w:rPr>
          <w:rFonts w:ascii="Tahoma" w:hAnsi="Tahoma" w:cs="Tahoma"/>
          <w:color w:val="000000" w:themeColor="text1"/>
        </w:rPr>
      </w:pPr>
    </w:p>
    <w:p w14:paraId="775C67C5" w14:textId="77777777" w:rsidR="00BE1EE6" w:rsidRPr="002A1B5B" w:rsidRDefault="00BE1EE6" w:rsidP="00113BAE">
      <w:pPr>
        <w:spacing w:before="360" w:after="0" w:line="360" w:lineRule="auto"/>
        <w:ind w:right="-329"/>
        <w:jc w:val="both"/>
        <w:rPr>
          <w:rFonts w:ascii="Tahoma" w:hAnsi="Tahoma" w:cs="Tahoma"/>
          <w:color w:val="000000" w:themeColor="text1"/>
        </w:rPr>
      </w:pPr>
    </w:p>
    <w:p w14:paraId="2377A98A" w14:textId="77777777" w:rsidR="00BE1EE6" w:rsidRPr="002A1B5B" w:rsidRDefault="00BE1EE6" w:rsidP="00D97499">
      <w:pPr>
        <w:spacing w:before="360" w:after="0" w:line="360" w:lineRule="auto"/>
        <w:ind w:left="-284" w:right="-329"/>
        <w:jc w:val="both"/>
        <w:rPr>
          <w:rFonts w:ascii="Tahoma" w:hAnsi="Tahoma" w:cs="Tahoma"/>
          <w:color w:val="000000" w:themeColor="text1"/>
        </w:rPr>
        <w:sectPr w:rsidR="00BE1EE6" w:rsidRPr="002A1B5B" w:rsidSect="00F07448">
          <w:footerReference w:type="default" r:id="rId12"/>
          <w:pgSz w:w="11906" w:h="16838"/>
          <w:pgMar w:top="1440" w:right="991" w:bottom="1440" w:left="1440" w:header="708" w:footer="708" w:gutter="0"/>
          <w:cols w:space="708"/>
          <w:docGrid w:linePitch="360"/>
        </w:sectPr>
      </w:pPr>
    </w:p>
    <w:p w14:paraId="40AFEA5A" w14:textId="77777777" w:rsidR="00BE1EE6" w:rsidRPr="00D838CF" w:rsidRDefault="00BE1EE6" w:rsidP="00BE1EE6">
      <w:pPr>
        <w:pStyle w:val="Heading1"/>
        <w:spacing w:after="280" w:line="240" w:lineRule="auto"/>
        <w:ind w:right="119"/>
        <w:rPr>
          <w:rFonts w:ascii="Tahoma" w:hAnsi="Tahoma" w:cs="Tahoma"/>
          <w:b w:val="0"/>
          <w:bCs w:val="0"/>
          <w:color w:val="005EB8"/>
        </w:rPr>
      </w:pPr>
      <w:r w:rsidRPr="00D838CF">
        <w:rPr>
          <w:rFonts w:ascii="Tahoma" w:hAnsi="Tahoma" w:cs="Tahoma"/>
          <w:b w:val="0"/>
          <w:bCs w:val="0"/>
          <w:color w:val="005EB8"/>
        </w:rPr>
        <w:t>Our safety incident response plan.</w:t>
      </w:r>
    </w:p>
    <w:p w14:paraId="37BE59A9" w14:textId="77777777" w:rsidR="00BE1EE6" w:rsidRPr="002A1B5B" w:rsidRDefault="00BE1EE6" w:rsidP="00BE1EE6">
      <w:pPr>
        <w:rPr>
          <w:rFonts w:ascii="Tahoma" w:hAnsi="Tahoma" w:cs="Tahoma"/>
        </w:rPr>
      </w:pPr>
    </w:p>
    <w:tbl>
      <w:tblPr>
        <w:tblStyle w:val="TableGrid"/>
        <w:tblW w:w="0" w:type="auto"/>
        <w:tblLook w:val="04A0" w:firstRow="1" w:lastRow="0" w:firstColumn="1" w:lastColumn="0" w:noHBand="0" w:noVBand="1"/>
      </w:tblPr>
      <w:tblGrid>
        <w:gridCol w:w="6974"/>
        <w:gridCol w:w="6974"/>
      </w:tblGrid>
      <w:tr w:rsidR="00BE1EE6" w:rsidRPr="002A1B5B" w14:paraId="3873B151" w14:textId="77777777" w:rsidTr="00D80F19">
        <w:tc>
          <w:tcPr>
            <w:tcW w:w="6974" w:type="dxa"/>
          </w:tcPr>
          <w:p w14:paraId="1C826F81" w14:textId="77777777" w:rsidR="00BE1EE6" w:rsidRPr="002A1B5B" w:rsidRDefault="00BE1EE6" w:rsidP="00D80F19">
            <w:pPr>
              <w:rPr>
                <w:rFonts w:ascii="Tahoma" w:hAnsi="Tahoma" w:cs="Tahoma"/>
                <w:b/>
                <w:bCs/>
              </w:rPr>
            </w:pPr>
            <w:r w:rsidRPr="002A1B5B">
              <w:rPr>
                <w:rFonts w:ascii="Tahoma" w:hAnsi="Tahoma" w:cs="Tahoma"/>
                <w:b/>
                <w:bCs/>
              </w:rPr>
              <w:t>National Safety Incident Priority</w:t>
            </w:r>
          </w:p>
        </w:tc>
        <w:tc>
          <w:tcPr>
            <w:tcW w:w="6974" w:type="dxa"/>
          </w:tcPr>
          <w:p w14:paraId="52FC69CD" w14:textId="77777777" w:rsidR="00BE1EE6" w:rsidRPr="002A1B5B" w:rsidRDefault="00BE1EE6" w:rsidP="00D80F19">
            <w:pPr>
              <w:rPr>
                <w:rFonts w:ascii="Tahoma" w:hAnsi="Tahoma" w:cs="Tahoma"/>
                <w:b/>
                <w:bCs/>
              </w:rPr>
            </w:pPr>
            <w:r w:rsidRPr="002A1B5B">
              <w:rPr>
                <w:rFonts w:ascii="Tahoma" w:hAnsi="Tahoma" w:cs="Tahoma"/>
                <w:b/>
                <w:bCs/>
              </w:rPr>
              <w:t>Planned Response</w:t>
            </w:r>
          </w:p>
        </w:tc>
      </w:tr>
      <w:tr w:rsidR="00BE1EE6" w:rsidRPr="002A1B5B" w14:paraId="3419DD1F" w14:textId="77777777" w:rsidTr="00D80F19">
        <w:tc>
          <w:tcPr>
            <w:tcW w:w="6974" w:type="dxa"/>
          </w:tcPr>
          <w:p w14:paraId="49665415" w14:textId="77777777" w:rsidR="00BE1EE6" w:rsidRPr="002A1B5B" w:rsidRDefault="00BE1EE6" w:rsidP="00D80F19">
            <w:pPr>
              <w:rPr>
                <w:rFonts w:ascii="Tahoma" w:hAnsi="Tahoma" w:cs="Tahoma"/>
              </w:rPr>
            </w:pPr>
            <w:r w:rsidRPr="002A1B5B">
              <w:rPr>
                <w:rFonts w:ascii="Tahoma" w:hAnsi="Tahoma" w:cs="Tahoma"/>
              </w:rPr>
              <w:t>Safeguarding incidents in which:</w:t>
            </w:r>
          </w:p>
          <w:p w14:paraId="75B4736E" w14:textId="77777777" w:rsidR="00BE1EE6" w:rsidRPr="002A1B5B" w:rsidRDefault="00BE1EE6" w:rsidP="00D80F19">
            <w:pPr>
              <w:ind w:left="720"/>
              <w:jc w:val="both"/>
              <w:rPr>
                <w:rFonts w:ascii="Tahoma" w:hAnsi="Tahoma" w:cs="Tahoma"/>
              </w:rPr>
            </w:pPr>
            <w:r w:rsidRPr="002A1B5B">
              <w:rPr>
                <w:rFonts w:ascii="Tahoma" w:hAnsi="Tahoma" w:cs="Tahoma"/>
              </w:rPr>
              <w:t xml:space="preserve">• Babies, child and young people are on a child protection plan; looked after plan or a victim of wilful neglect or domestic abuse/ violence. </w:t>
            </w:r>
          </w:p>
          <w:p w14:paraId="26BD3FF1" w14:textId="77777777" w:rsidR="00BE1EE6" w:rsidRPr="002A1B5B" w:rsidRDefault="00BE1EE6" w:rsidP="00D80F19">
            <w:pPr>
              <w:ind w:left="720"/>
              <w:jc w:val="both"/>
              <w:rPr>
                <w:rFonts w:ascii="Tahoma" w:hAnsi="Tahoma" w:cs="Tahoma"/>
              </w:rPr>
            </w:pPr>
            <w:r w:rsidRPr="002A1B5B">
              <w:rPr>
                <w:rFonts w:ascii="Tahoma" w:hAnsi="Tahoma" w:cs="Tahoma"/>
              </w:rPr>
              <w:t xml:space="preserve">• Adults (over 18 years old) are in receipt of care and support needs from their Local Authority </w:t>
            </w:r>
          </w:p>
          <w:p w14:paraId="454AD97E" w14:textId="77777777" w:rsidR="00BE1EE6" w:rsidRPr="002A1B5B" w:rsidRDefault="00BE1EE6" w:rsidP="00D80F19">
            <w:pPr>
              <w:ind w:left="720"/>
              <w:jc w:val="both"/>
              <w:rPr>
                <w:rFonts w:ascii="Tahoma" w:hAnsi="Tahoma" w:cs="Tahoma"/>
              </w:rPr>
            </w:pPr>
            <w:r w:rsidRPr="002A1B5B">
              <w:rPr>
                <w:rFonts w:ascii="Tahoma" w:hAnsi="Tahoma" w:cs="Tahoma"/>
              </w:rPr>
              <w:t>• The incident relates to FGM, Prevent (radicalisation to terrorism); modern slavery &amp; human trafficking or domestic abuse / violence.</w:t>
            </w:r>
          </w:p>
          <w:p w14:paraId="6386818D" w14:textId="77777777" w:rsidR="00BE1EE6" w:rsidRPr="002A1B5B" w:rsidRDefault="00BE1EE6" w:rsidP="00D80F19">
            <w:pPr>
              <w:rPr>
                <w:rFonts w:ascii="Tahoma" w:hAnsi="Tahoma" w:cs="Tahoma"/>
              </w:rPr>
            </w:pPr>
          </w:p>
        </w:tc>
        <w:tc>
          <w:tcPr>
            <w:tcW w:w="6974" w:type="dxa"/>
          </w:tcPr>
          <w:p w14:paraId="3A24E2B4" w14:textId="50D33605" w:rsidR="00BE1EE6" w:rsidRPr="002A1B5B" w:rsidRDefault="00BE1EE6" w:rsidP="00D80F19">
            <w:pPr>
              <w:rPr>
                <w:rFonts w:ascii="Tahoma" w:hAnsi="Tahoma" w:cs="Tahoma"/>
              </w:rPr>
            </w:pPr>
            <w:r w:rsidRPr="002A1B5B">
              <w:rPr>
                <w:rFonts w:ascii="Tahoma" w:hAnsi="Tahoma" w:cs="Tahoma"/>
              </w:rPr>
              <w:t xml:space="preserve">Refer to local authority safeguarding lead. </w:t>
            </w:r>
            <w:r w:rsidR="00EE7B21" w:rsidRPr="002A1B5B">
              <w:rPr>
                <w:rFonts w:ascii="Tahoma" w:hAnsi="Tahoma" w:cs="Tahoma"/>
              </w:rPr>
              <w:t xml:space="preserve">Compass </w:t>
            </w:r>
            <w:r w:rsidRPr="002A1B5B">
              <w:rPr>
                <w:rFonts w:ascii="Tahoma" w:hAnsi="Tahoma" w:cs="Tahoma"/>
              </w:rPr>
              <w:t>will contribute towards domestic independent inquiries, joint targeted area inspections, child safeguarding practice reviews, domestic homicide reviews and any other safeguarding reviews (and inquiries) as required to do so by the Local Safeguarding Partnership (for children) and local Safeguarding Adults Boards.</w:t>
            </w:r>
          </w:p>
        </w:tc>
      </w:tr>
      <w:tr w:rsidR="00BE1EE6" w:rsidRPr="002A1B5B" w14:paraId="228E9A29" w14:textId="77777777" w:rsidTr="00D80F19">
        <w:tc>
          <w:tcPr>
            <w:tcW w:w="6974" w:type="dxa"/>
          </w:tcPr>
          <w:p w14:paraId="5F44BDE9" w14:textId="77777777" w:rsidR="00BE1EE6" w:rsidRPr="002A1B5B" w:rsidRDefault="00BE1EE6" w:rsidP="00D80F19">
            <w:pPr>
              <w:rPr>
                <w:rFonts w:ascii="Tahoma" w:hAnsi="Tahoma" w:cs="Tahoma"/>
              </w:rPr>
            </w:pPr>
            <w:r w:rsidRPr="002A1B5B">
              <w:rPr>
                <w:rFonts w:ascii="Tahoma" w:hAnsi="Tahoma" w:cs="Tahoma"/>
              </w:rPr>
              <w:t>Deaths thought more likely than not due to problems in care. Including all deaths by suicide of young people in the care of Compass.</w:t>
            </w:r>
          </w:p>
        </w:tc>
        <w:tc>
          <w:tcPr>
            <w:tcW w:w="6974" w:type="dxa"/>
          </w:tcPr>
          <w:p w14:paraId="6B3670B4" w14:textId="77777777" w:rsidR="00BE1EE6" w:rsidRPr="002A1B5B" w:rsidRDefault="00BE1EE6" w:rsidP="00D80F19">
            <w:pPr>
              <w:rPr>
                <w:rFonts w:ascii="Tahoma" w:hAnsi="Tahoma" w:cs="Tahoma"/>
              </w:rPr>
            </w:pPr>
            <w:r w:rsidRPr="002A1B5B">
              <w:rPr>
                <w:rFonts w:ascii="Tahoma" w:hAnsi="Tahoma" w:cs="Tahoma"/>
              </w:rPr>
              <w:t>Participation in system NHS/ICB led Patient Safety Incident Investigation (PSII) of Compass led Serious Incident Investigation SII.</w:t>
            </w:r>
          </w:p>
        </w:tc>
      </w:tr>
      <w:tr w:rsidR="00BE1EE6" w:rsidRPr="002A1B5B" w14:paraId="269B2BB1" w14:textId="77777777" w:rsidTr="00D80F19">
        <w:tc>
          <w:tcPr>
            <w:tcW w:w="6974" w:type="dxa"/>
          </w:tcPr>
          <w:p w14:paraId="53BCD89B" w14:textId="77777777" w:rsidR="00BE1EE6" w:rsidRPr="002A1B5B" w:rsidRDefault="00BE1EE6" w:rsidP="00D80F19">
            <w:pPr>
              <w:rPr>
                <w:rFonts w:ascii="Tahoma" w:hAnsi="Tahoma" w:cs="Tahoma"/>
              </w:rPr>
            </w:pPr>
            <w:r w:rsidRPr="002A1B5B">
              <w:rPr>
                <w:rFonts w:ascii="Tahoma" w:hAnsi="Tahoma" w:cs="Tahoma"/>
              </w:rPr>
              <w:t>Child Deaths</w:t>
            </w:r>
          </w:p>
        </w:tc>
        <w:tc>
          <w:tcPr>
            <w:tcW w:w="6974" w:type="dxa"/>
          </w:tcPr>
          <w:p w14:paraId="0ECE979D" w14:textId="77777777" w:rsidR="00BE1EE6" w:rsidRPr="002A1B5B" w:rsidRDefault="00BE1EE6" w:rsidP="00D80F19">
            <w:pPr>
              <w:rPr>
                <w:rFonts w:ascii="Tahoma" w:hAnsi="Tahoma" w:cs="Tahoma"/>
              </w:rPr>
            </w:pPr>
            <w:r w:rsidRPr="002A1B5B">
              <w:rPr>
                <w:rFonts w:ascii="Tahoma" w:hAnsi="Tahoma" w:cs="Tahoma"/>
              </w:rPr>
              <w:t>Refer for Child Death Overview Panel review. Compass led SII (or other response) may be required alongside the Panel review – Compass will liaise with the panel and contribute to multi agency panel and review.</w:t>
            </w:r>
          </w:p>
        </w:tc>
      </w:tr>
      <w:tr w:rsidR="00BE1EE6" w:rsidRPr="002A1B5B" w14:paraId="6F38BB2D" w14:textId="77777777" w:rsidTr="00D80F19">
        <w:tc>
          <w:tcPr>
            <w:tcW w:w="6974" w:type="dxa"/>
          </w:tcPr>
          <w:p w14:paraId="29E7EDFC" w14:textId="77777777" w:rsidR="00BE1EE6" w:rsidRPr="002A1B5B" w:rsidRDefault="00BE1EE6" w:rsidP="00D80F19">
            <w:pPr>
              <w:rPr>
                <w:rFonts w:ascii="Tahoma" w:hAnsi="Tahoma" w:cs="Tahoma"/>
                <w:b/>
                <w:bCs/>
              </w:rPr>
            </w:pPr>
            <w:r w:rsidRPr="002A1B5B">
              <w:rPr>
                <w:rFonts w:ascii="Tahoma" w:hAnsi="Tahoma" w:cs="Tahoma"/>
                <w:b/>
                <w:bCs/>
              </w:rPr>
              <w:t>Local Safety Incident Priority</w:t>
            </w:r>
          </w:p>
        </w:tc>
        <w:tc>
          <w:tcPr>
            <w:tcW w:w="6974" w:type="dxa"/>
          </w:tcPr>
          <w:p w14:paraId="41A1975E" w14:textId="77777777" w:rsidR="00BE1EE6" w:rsidRPr="002A1B5B" w:rsidRDefault="00BE1EE6" w:rsidP="00D80F19">
            <w:pPr>
              <w:rPr>
                <w:rFonts w:ascii="Tahoma" w:hAnsi="Tahoma" w:cs="Tahoma"/>
              </w:rPr>
            </w:pPr>
          </w:p>
        </w:tc>
      </w:tr>
      <w:tr w:rsidR="00BE1EE6" w:rsidRPr="002A1B5B" w14:paraId="53829FB4" w14:textId="77777777" w:rsidTr="00D80F19">
        <w:tc>
          <w:tcPr>
            <w:tcW w:w="6974" w:type="dxa"/>
          </w:tcPr>
          <w:p w14:paraId="6E7198DE" w14:textId="77777777" w:rsidR="00BE1EE6" w:rsidRPr="002A1B5B" w:rsidRDefault="00BE1EE6" w:rsidP="00D80F19">
            <w:pPr>
              <w:rPr>
                <w:rFonts w:ascii="Tahoma" w:hAnsi="Tahoma" w:cs="Tahoma"/>
              </w:rPr>
            </w:pPr>
            <w:r w:rsidRPr="002A1B5B">
              <w:rPr>
                <w:rFonts w:ascii="Tahoma" w:hAnsi="Tahoma" w:cs="Tahoma"/>
              </w:rPr>
              <w:t>Standards of Clinical Risk Assessment</w:t>
            </w:r>
          </w:p>
        </w:tc>
        <w:tc>
          <w:tcPr>
            <w:tcW w:w="6974" w:type="dxa"/>
          </w:tcPr>
          <w:p w14:paraId="17026FAB" w14:textId="77777777" w:rsidR="00BE1EE6" w:rsidRPr="002A1B5B" w:rsidRDefault="00BE1EE6" w:rsidP="00D80F19">
            <w:pPr>
              <w:rPr>
                <w:rFonts w:ascii="Tahoma" w:hAnsi="Tahoma" w:cs="Tahoma"/>
              </w:rPr>
            </w:pPr>
            <w:r w:rsidRPr="002A1B5B">
              <w:rPr>
                <w:rFonts w:ascii="Tahoma" w:hAnsi="Tahoma" w:cs="Tahoma"/>
              </w:rPr>
              <w:t>Compass led SII.</w:t>
            </w:r>
          </w:p>
        </w:tc>
      </w:tr>
    </w:tbl>
    <w:p w14:paraId="6BF7EC61" w14:textId="77777777" w:rsidR="00BE1EE6" w:rsidRPr="002A1B5B" w:rsidRDefault="00BE1EE6" w:rsidP="00BE1EE6">
      <w:pPr>
        <w:spacing w:before="360" w:after="0" w:line="360" w:lineRule="auto"/>
        <w:ind w:right="-329"/>
        <w:jc w:val="both"/>
        <w:rPr>
          <w:rFonts w:ascii="Tahoma" w:hAnsi="Tahoma" w:cs="Tahoma"/>
          <w:color w:val="000000" w:themeColor="text1"/>
        </w:rPr>
        <w:sectPr w:rsidR="00BE1EE6" w:rsidRPr="002A1B5B" w:rsidSect="00F07448">
          <w:pgSz w:w="16838" w:h="11906" w:orient="landscape"/>
          <w:pgMar w:top="992" w:right="1440" w:bottom="1440" w:left="1440" w:header="708" w:footer="708" w:gutter="0"/>
          <w:cols w:space="708"/>
          <w:docGrid w:linePitch="360"/>
        </w:sectPr>
      </w:pPr>
    </w:p>
    <w:p w14:paraId="04414211" w14:textId="77777777" w:rsidR="00BE1EE6" w:rsidRPr="002A1B5B" w:rsidRDefault="00BE1EE6" w:rsidP="00BE1EE6">
      <w:pPr>
        <w:spacing w:before="360" w:after="0" w:line="360" w:lineRule="auto"/>
        <w:ind w:right="-329"/>
        <w:jc w:val="both"/>
        <w:rPr>
          <w:rFonts w:ascii="Tahoma" w:hAnsi="Tahoma" w:cs="Tahoma"/>
          <w:color w:val="000000" w:themeColor="text1"/>
        </w:rPr>
      </w:pPr>
    </w:p>
    <w:p w14:paraId="38F98F21" w14:textId="0D6B646A" w:rsidR="00BE1EE6" w:rsidRPr="00D838CF" w:rsidRDefault="00BE1EE6" w:rsidP="00BE1EE6">
      <w:pPr>
        <w:pStyle w:val="Heading1"/>
        <w:spacing w:after="280" w:line="240" w:lineRule="auto"/>
        <w:ind w:right="119"/>
        <w:rPr>
          <w:rFonts w:ascii="Tahoma" w:hAnsi="Tahoma" w:cs="Tahoma"/>
          <w:b w:val="0"/>
          <w:bCs w:val="0"/>
          <w:color w:val="005EB8"/>
        </w:rPr>
      </w:pPr>
      <w:r w:rsidRPr="00D838CF">
        <w:rPr>
          <w:rFonts w:ascii="Tahoma" w:hAnsi="Tahoma" w:cs="Tahoma"/>
          <w:b w:val="0"/>
          <w:bCs w:val="0"/>
          <w:color w:val="005EB8"/>
        </w:rPr>
        <w:t>Monitoring safety incident responses.</w:t>
      </w:r>
    </w:p>
    <w:p w14:paraId="24214607" w14:textId="598E6F12" w:rsidR="002A28CE" w:rsidRPr="002A1B5B" w:rsidRDefault="007F19EC" w:rsidP="00D97499">
      <w:pPr>
        <w:spacing w:line="360" w:lineRule="auto"/>
        <w:ind w:left="-284"/>
        <w:jc w:val="both"/>
        <w:rPr>
          <w:rFonts w:ascii="Tahoma" w:hAnsi="Tahoma" w:cs="Tahoma"/>
        </w:rPr>
      </w:pPr>
      <w:r w:rsidRPr="002A1B5B">
        <w:rPr>
          <w:rFonts w:ascii="Tahoma" w:hAnsi="Tahoma" w:cs="Tahoma"/>
        </w:rPr>
        <w:t xml:space="preserve">Compass has established clinical and quality assurance </w:t>
      </w:r>
      <w:r w:rsidR="002A28CE" w:rsidRPr="002A1B5B">
        <w:rPr>
          <w:rFonts w:ascii="Tahoma" w:hAnsi="Tahoma" w:cs="Tahoma"/>
        </w:rPr>
        <w:t xml:space="preserve">frameworks centred around specialist Clinical Working Groups (CWG) </w:t>
      </w:r>
      <w:r w:rsidRPr="002A1B5B">
        <w:rPr>
          <w:rFonts w:ascii="Tahoma" w:hAnsi="Tahoma" w:cs="Tahoma"/>
        </w:rPr>
        <w:t xml:space="preserve">across each of the three </w:t>
      </w:r>
      <w:r w:rsidR="002A28CE" w:rsidRPr="002A1B5B">
        <w:rPr>
          <w:rFonts w:ascii="Tahoma" w:hAnsi="Tahoma" w:cs="Tahoma"/>
        </w:rPr>
        <w:t>directorates:</w:t>
      </w:r>
    </w:p>
    <w:p w14:paraId="04BC7FA1" w14:textId="3FC7CBFB" w:rsidR="002A28CE" w:rsidRPr="002A1B5B" w:rsidRDefault="002A28CE" w:rsidP="00D97499">
      <w:pPr>
        <w:pStyle w:val="ListParagraph"/>
        <w:numPr>
          <w:ilvl w:val="0"/>
          <w:numId w:val="43"/>
        </w:numPr>
        <w:spacing w:line="360" w:lineRule="auto"/>
        <w:jc w:val="both"/>
        <w:rPr>
          <w:rFonts w:ascii="Tahoma" w:hAnsi="Tahoma" w:cs="Tahoma"/>
        </w:rPr>
      </w:pPr>
      <w:r w:rsidRPr="002A1B5B">
        <w:rPr>
          <w:rFonts w:ascii="Tahoma" w:hAnsi="Tahoma" w:cs="Tahoma"/>
        </w:rPr>
        <w:t>Mental health and Emotional Wellbeing</w:t>
      </w:r>
    </w:p>
    <w:p w14:paraId="519C1AD1" w14:textId="66D1C84F" w:rsidR="002A28CE" w:rsidRPr="002A1B5B" w:rsidRDefault="002A28CE" w:rsidP="00D97499">
      <w:pPr>
        <w:pStyle w:val="ListParagraph"/>
        <w:numPr>
          <w:ilvl w:val="0"/>
          <w:numId w:val="43"/>
        </w:numPr>
        <w:spacing w:line="360" w:lineRule="auto"/>
        <w:jc w:val="both"/>
        <w:rPr>
          <w:rFonts w:ascii="Tahoma" w:hAnsi="Tahoma" w:cs="Tahoma"/>
        </w:rPr>
      </w:pPr>
      <w:r w:rsidRPr="002A1B5B">
        <w:rPr>
          <w:rFonts w:ascii="Tahoma" w:hAnsi="Tahoma" w:cs="Tahoma"/>
        </w:rPr>
        <w:t>Risky Behaviours</w:t>
      </w:r>
      <w:r w:rsidR="006D7F43" w:rsidRPr="002A1B5B">
        <w:rPr>
          <w:rFonts w:ascii="Tahoma" w:hAnsi="Tahoma" w:cs="Tahoma"/>
        </w:rPr>
        <w:t xml:space="preserve"> including </w:t>
      </w:r>
      <w:r w:rsidR="00055DAE" w:rsidRPr="002A1B5B">
        <w:rPr>
          <w:rFonts w:ascii="Tahoma" w:hAnsi="Tahoma" w:cs="Tahoma"/>
        </w:rPr>
        <w:t>S</w:t>
      </w:r>
      <w:r w:rsidR="006D7F43" w:rsidRPr="002A1B5B">
        <w:rPr>
          <w:rFonts w:ascii="Tahoma" w:hAnsi="Tahoma" w:cs="Tahoma"/>
        </w:rPr>
        <w:t xml:space="preserve">ubstance </w:t>
      </w:r>
      <w:r w:rsidR="00055DAE" w:rsidRPr="002A1B5B">
        <w:rPr>
          <w:rFonts w:ascii="Tahoma" w:hAnsi="Tahoma" w:cs="Tahoma"/>
        </w:rPr>
        <w:t>M</w:t>
      </w:r>
      <w:r w:rsidR="006D7F43" w:rsidRPr="002A1B5B">
        <w:rPr>
          <w:rFonts w:ascii="Tahoma" w:hAnsi="Tahoma" w:cs="Tahoma"/>
        </w:rPr>
        <w:t>isuse</w:t>
      </w:r>
    </w:p>
    <w:p w14:paraId="273EAA0C" w14:textId="77777777" w:rsidR="006F47E4" w:rsidRPr="002A1B5B" w:rsidRDefault="002A28CE" w:rsidP="00D97499">
      <w:pPr>
        <w:pStyle w:val="ListParagraph"/>
        <w:numPr>
          <w:ilvl w:val="0"/>
          <w:numId w:val="43"/>
        </w:numPr>
        <w:spacing w:line="360" w:lineRule="auto"/>
        <w:jc w:val="both"/>
        <w:rPr>
          <w:rFonts w:ascii="Tahoma" w:hAnsi="Tahoma" w:cs="Tahoma"/>
        </w:rPr>
      </w:pPr>
      <w:r w:rsidRPr="002A1B5B">
        <w:rPr>
          <w:rFonts w:ascii="Tahoma" w:hAnsi="Tahoma" w:cs="Tahoma"/>
        </w:rPr>
        <w:t>School Nursing</w:t>
      </w:r>
      <w:r w:rsidR="00055DAE" w:rsidRPr="002A1B5B">
        <w:rPr>
          <w:rFonts w:ascii="Tahoma" w:hAnsi="Tahoma" w:cs="Tahoma"/>
        </w:rPr>
        <w:t xml:space="preserve"> </w:t>
      </w:r>
    </w:p>
    <w:p w14:paraId="0F8BD7B4" w14:textId="76334082" w:rsidR="002A28CE" w:rsidRPr="002A1B5B" w:rsidRDefault="00055DAE" w:rsidP="00D97499">
      <w:pPr>
        <w:spacing w:line="360" w:lineRule="auto"/>
        <w:ind w:left="360"/>
        <w:jc w:val="both"/>
        <w:rPr>
          <w:rFonts w:ascii="Tahoma" w:hAnsi="Tahoma" w:cs="Tahoma"/>
        </w:rPr>
      </w:pPr>
      <w:r w:rsidRPr="002A1B5B">
        <w:rPr>
          <w:rFonts w:ascii="Tahoma" w:hAnsi="Tahoma" w:cs="Tahoma"/>
        </w:rPr>
        <w:t>Each</w:t>
      </w:r>
      <w:r w:rsidR="002A28CE" w:rsidRPr="002A1B5B">
        <w:rPr>
          <w:rFonts w:ascii="Tahoma" w:hAnsi="Tahoma" w:cs="Tahoma"/>
        </w:rPr>
        <w:t xml:space="preserve"> CWG brings together practitioners, clinical leaders and operational managers to analyse safety and quality themes, prepare responses and </w:t>
      </w:r>
      <w:r w:rsidR="00132103" w:rsidRPr="002A1B5B">
        <w:rPr>
          <w:rFonts w:ascii="Tahoma" w:hAnsi="Tahoma" w:cs="Tahoma"/>
        </w:rPr>
        <w:t>coordinate</w:t>
      </w:r>
      <w:r w:rsidR="002A28CE" w:rsidRPr="002A1B5B">
        <w:rPr>
          <w:rFonts w:ascii="Tahoma" w:hAnsi="Tahoma" w:cs="Tahoma"/>
        </w:rPr>
        <w:t xml:space="preserve"> continued development of safe and effective practices. The CWGs</w:t>
      </w:r>
      <w:r w:rsidR="001A3449" w:rsidRPr="002A1B5B">
        <w:rPr>
          <w:rFonts w:ascii="Tahoma" w:hAnsi="Tahoma" w:cs="Tahoma"/>
        </w:rPr>
        <w:t xml:space="preserve"> work to a standard terms of reference and</w:t>
      </w:r>
      <w:r w:rsidR="002A28CE" w:rsidRPr="002A1B5B">
        <w:rPr>
          <w:rFonts w:ascii="Tahoma" w:hAnsi="Tahoma" w:cs="Tahoma"/>
        </w:rPr>
        <w:t xml:space="preserve"> report to the Clinical Governance Group</w:t>
      </w:r>
      <w:r w:rsidR="001A3449" w:rsidRPr="002A1B5B">
        <w:rPr>
          <w:rFonts w:ascii="Tahoma" w:hAnsi="Tahoma" w:cs="Tahoma"/>
        </w:rPr>
        <w:t xml:space="preserve"> (CGG)</w:t>
      </w:r>
      <w:r w:rsidR="002A28CE" w:rsidRPr="002A1B5B">
        <w:rPr>
          <w:rFonts w:ascii="Tahoma" w:hAnsi="Tahoma" w:cs="Tahoma"/>
        </w:rPr>
        <w:t>, a</w:t>
      </w:r>
      <w:r w:rsidR="006D7F43" w:rsidRPr="002A1B5B">
        <w:rPr>
          <w:rFonts w:ascii="Tahoma" w:hAnsi="Tahoma" w:cs="Tahoma"/>
        </w:rPr>
        <w:t>n advisory group to the</w:t>
      </w:r>
      <w:r w:rsidR="002A28CE" w:rsidRPr="002A1B5B">
        <w:rPr>
          <w:rFonts w:ascii="Tahoma" w:hAnsi="Tahoma" w:cs="Tahoma"/>
        </w:rPr>
        <w:t xml:space="preserve"> </w:t>
      </w:r>
      <w:r w:rsidR="006D7F43" w:rsidRPr="002A1B5B">
        <w:rPr>
          <w:rFonts w:ascii="Tahoma" w:hAnsi="Tahoma" w:cs="Tahoma"/>
        </w:rPr>
        <w:t>Compass</w:t>
      </w:r>
      <w:r w:rsidR="002A28CE" w:rsidRPr="002A1B5B">
        <w:rPr>
          <w:rFonts w:ascii="Tahoma" w:hAnsi="Tahoma" w:cs="Tahoma"/>
        </w:rPr>
        <w:t xml:space="preserve"> Board who retain oversight of and accountability </w:t>
      </w:r>
      <w:r w:rsidR="006D7F43" w:rsidRPr="002A1B5B">
        <w:rPr>
          <w:rFonts w:ascii="Tahoma" w:hAnsi="Tahoma" w:cs="Tahoma"/>
        </w:rPr>
        <w:t>for</w:t>
      </w:r>
      <w:r w:rsidR="002A28CE" w:rsidRPr="002A1B5B">
        <w:rPr>
          <w:rFonts w:ascii="Tahoma" w:hAnsi="Tahoma" w:cs="Tahoma"/>
        </w:rPr>
        <w:t xml:space="preserve"> the safe</w:t>
      </w:r>
      <w:r w:rsidR="001A3449" w:rsidRPr="002A1B5B">
        <w:rPr>
          <w:rFonts w:ascii="Tahoma" w:hAnsi="Tahoma" w:cs="Tahoma"/>
        </w:rPr>
        <w:t>ty and effectiveness of services.</w:t>
      </w:r>
    </w:p>
    <w:p w14:paraId="00076A3D" w14:textId="0C7C8735" w:rsidR="001A3449" w:rsidRPr="002A1B5B" w:rsidRDefault="001A3449" w:rsidP="00D97499">
      <w:pPr>
        <w:spacing w:line="360" w:lineRule="auto"/>
        <w:jc w:val="both"/>
        <w:rPr>
          <w:rFonts w:ascii="Tahoma" w:hAnsi="Tahoma" w:cs="Tahoma"/>
          <w:b/>
          <w:bCs/>
        </w:rPr>
      </w:pPr>
      <w:r w:rsidRPr="002A1B5B">
        <w:rPr>
          <w:rFonts w:ascii="Tahoma" w:hAnsi="Tahoma" w:cs="Tahoma"/>
          <w:b/>
          <w:bCs/>
        </w:rPr>
        <w:t>Clinical Working Group Terms of Reference</w:t>
      </w:r>
    </w:p>
    <w:p w14:paraId="37836600" w14:textId="77777777" w:rsidR="001A3449" w:rsidRPr="002A1B5B" w:rsidRDefault="001A3449" w:rsidP="00D97499">
      <w:pPr>
        <w:pStyle w:val="BodyText"/>
        <w:numPr>
          <w:ilvl w:val="0"/>
          <w:numId w:val="44"/>
        </w:numPr>
        <w:spacing w:line="360" w:lineRule="auto"/>
        <w:rPr>
          <w:sz w:val="22"/>
          <w:szCs w:val="22"/>
        </w:rPr>
      </w:pPr>
      <w:r w:rsidRPr="002A1B5B">
        <w:rPr>
          <w:sz w:val="22"/>
          <w:szCs w:val="22"/>
        </w:rPr>
        <w:t>Undertake tasks and activities arising from the CGG that require operational or clinical attention and those considered a priority.</w:t>
      </w:r>
    </w:p>
    <w:p w14:paraId="46ECDE8D" w14:textId="77777777" w:rsidR="001A3449" w:rsidRPr="002A1B5B" w:rsidRDefault="001A3449" w:rsidP="00D97499">
      <w:pPr>
        <w:pStyle w:val="ListParagraph"/>
        <w:numPr>
          <w:ilvl w:val="0"/>
          <w:numId w:val="44"/>
        </w:numPr>
        <w:spacing w:after="160" w:line="360" w:lineRule="auto"/>
        <w:jc w:val="both"/>
        <w:rPr>
          <w:rFonts w:ascii="Tahoma" w:hAnsi="Tahoma" w:cs="Tahoma"/>
        </w:rPr>
      </w:pPr>
      <w:r w:rsidRPr="002A1B5B">
        <w:rPr>
          <w:rFonts w:ascii="Tahoma" w:hAnsi="Tahoma" w:cs="Tahoma"/>
        </w:rPr>
        <w:t xml:space="preserve">Review incidents, actions and lessons learnt identifying any common themes where action may be required. </w:t>
      </w:r>
    </w:p>
    <w:p w14:paraId="08229274" w14:textId="7F326BBD" w:rsidR="001A3449" w:rsidRPr="002A1B5B" w:rsidRDefault="001A3449" w:rsidP="00D97499">
      <w:pPr>
        <w:pStyle w:val="ListParagraph"/>
        <w:numPr>
          <w:ilvl w:val="0"/>
          <w:numId w:val="44"/>
        </w:numPr>
        <w:spacing w:after="160" w:line="360" w:lineRule="auto"/>
        <w:jc w:val="both"/>
        <w:rPr>
          <w:rFonts w:ascii="Tahoma" w:hAnsi="Tahoma" w:cs="Tahoma"/>
        </w:rPr>
      </w:pPr>
      <w:r w:rsidRPr="002A1B5B">
        <w:rPr>
          <w:rFonts w:ascii="Tahoma" w:hAnsi="Tahoma" w:cs="Tahoma"/>
        </w:rPr>
        <w:t xml:space="preserve">Review local identified risks, linked to the organisational </w:t>
      </w:r>
      <w:r w:rsidR="006D7F43" w:rsidRPr="002A1B5B">
        <w:rPr>
          <w:rFonts w:ascii="Tahoma" w:hAnsi="Tahoma" w:cs="Tahoma"/>
        </w:rPr>
        <w:t>clinical</w:t>
      </w:r>
      <w:r w:rsidRPr="002A1B5B">
        <w:rPr>
          <w:rFonts w:ascii="Tahoma" w:hAnsi="Tahoma" w:cs="Tahoma"/>
        </w:rPr>
        <w:t xml:space="preserve"> risk register ensuring actions are in place to minimise risk. </w:t>
      </w:r>
    </w:p>
    <w:p w14:paraId="31592DB4" w14:textId="77777777" w:rsidR="001A3449" w:rsidRPr="002A1B5B" w:rsidRDefault="001A3449" w:rsidP="00D97499">
      <w:pPr>
        <w:pStyle w:val="ListParagraph"/>
        <w:numPr>
          <w:ilvl w:val="0"/>
          <w:numId w:val="44"/>
        </w:numPr>
        <w:spacing w:after="160" w:line="360" w:lineRule="auto"/>
        <w:jc w:val="both"/>
        <w:rPr>
          <w:rFonts w:ascii="Tahoma" w:hAnsi="Tahoma" w:cs="Tahoma"/>
        </w:rPr>
      </w:pPr>
      <w:r w:rsidRPr="002A1B5B">
        <w:rPr>
          <w:rFonts w:ascii="Tahoma" w:hAnsi="Tahoma" w:cs="Tahoma"/>
        </w:rPr>
        <w:t>Monitor and review findings from compliance and quality audits</w:t>
      </w:r>
      <w:r w:rsidRPr="002A1B5B">
        <w:rPr>
          <w:rFonts w:ascii="Tahoma" w:hAnsi="Tahoma" w:cs="Tahoma"/>
          <w:color w:val="000000" w:themeColor="text1"/>
        </w:rPr>
        <w:t xml:space="preserve"> </w:t>
      </w:r>
      <w:r w:rsidRPr="002A1B5B">
        <w:rPr>
          <w:rFonts w:ascii="Tahoma" w:hAnsi="Tahoma" w:cs="Tahoma"/>
        </w:rPr>
        <w:t xml:space="preserve">sharing good practice and identifying any areas requiring improvement, ensuring mitigations are in place to address these. </w:t>
      </w:r>
    </w:p>
    <w:p w14:paraId="453B29C2" w14:textId="77777777" w:rsidR="001A3449" w:rsidRPr="002A1B5B" w:rsidRDefault="001A3449" w:rsidP="00D97499">
      <w:pPr>
        <w:pStyle w:val="ListParagraph"/>
        <w:numPr>
          <w:ilvl w:val="0"/>
          <w:numId w:val="44"/>
        </w:numPr>
        <w:spacing w:after="160" w:line="360" w:lineRule="auto"/>
        <w:jc w:val="both"/>
        <w:rPr>
          <w:rFonts w:ascii="Tahoma" w:hAnsi="Tahoma" w:cs="Tahoma"/>
        </w:rPr>
      </w:pPr>
      <w:r w:rsidRPr="002A1B5B">
        <w:rPr>
          <w:rFonts w:ascii="Tahoma" w:hAnsi="Tahoma" w:cs="Tahoma"/>
        </w:rPr>
        <w:t xml:space="preserve">Monitor and review of informal and formal complaints identifying lessons learnt and common themes occurring throughout to improve the quality of services and minimise any future risk of reoccurrence. </w:t>
      </w:r>
    </w:p>
    <w:p w14:paraId="09BDC960" w14:textId="77777777" w:rsidR="001A3449" w:rsidRPr="002A1B5B" w:rsidRDefault="001A3449" w:rsidP="00D97499">
      <w:pPr>
        <w:pStyle w:val="ListParagraph"/>
        <w:numPr>
          <w:ilvl w:val="0"/>
          <w:numId w:val="44"/>
        </w:numPr>
        <w:spacing w:after="160" w:line="360" w:lineRule="auto"/>
        <w:jc w:val="both"/>
        <w:rPr>
          <w:rFonts w:ascii="Tahoma" w:hAnsi="Tahoma" w:cs="Tahoma"/>
        </w:rPr>
      </w:pPr>
      <w:r w:rsidRPr="002A1B5B">
        <w:rPr>
          <w:rFonts w:ascii="Tahoma" w:hAnsi="Tahoma" w:cs="Tahoma"/>
        </w:rPr>
        <w:t xml:space="preserve">Explore service improvement opportunities identified through reviewing the risk register, incidents, complaints, and findings from clinical audits </w:t>
      </w:r>
      <w:r w:rsidRPr="002A1B5B">
        <w:rPr>
          <w:rFonts w:ascii="Tahoma" w:hAnsi="Tahoma" w:cs="Tahoma"/>
          <w:color w:val="000000" w:themeColor="text1"/>
        </w:rPr>
        <w:t>to improve clinical pathways and early intervention.</w:t>
      </w:r>
    </w:p>
    <w:p w14:paraId="50E32FCE" w14:textId="77777777" w:rsidR="001A3449" w:rsidRPr="002A1B5B" w:rsidRDefault="001A3449" w:rsidP="00D97499">
      <w:pPr>
        <w:pStyle w:val="ListParagraph"/>
        <w:numPr>
          <w:ilvl w:val="0"/>
          <w:numId w:val="44"/>
        </w:numPr>
        <w:spacing w:after="160" w:line="360" w:lineRule="auto"/>
        <w:jc w:val="both"/>
        <w:rPr>
          <w:rFonts w:ascii="Tahoma" w:hAnsi="Tahoma" w:cs="Tahoma"/>
        </w:rPr>
      </w:pPr>
      <w:r w:rsidRPr="002A1B5B">
        <w:rPr>
          <w:rFonts w:ascii="Tahoma" w:hAnsi="Tahoma" w:cs="Tahoma"/>
        </w:rPr>
        <w:lastRenderedPageBreak/>
        <w:t>Ensure information is shared regarding updates/changes to organisational policies and information has been disseminated throughout the organisation in a timely manner.</w:t>
      </w:r>
    </w:p>
    <w:p w14:paraId="36ADDA10" w14:textId="77777777" w:rsidR="001A3449" w:rsidRPr="002A1B5B" w:rsidRDefault="001A3449" w:rsidP="00D97499">
      <w:pPr>
        <w:pStyle w:val="ListParagraph"/>
        <w:numPr>
          <w:ilvl w:val="0"/>
          <w:numId w:val="44"/>
        </w:numPr>
        <w:spacing w:after="160" w:line="360" w:lineRule="auto"/>
        <w:jc w:val="both"/>
        <w:rPr>
          <w:rFonts w:ascii="Tahoma" w:hAnsi="Tahoma" w:cs="Tahoma"/>
        </w:rPr>
      </w:pPr>
      <w:r w:rsidRPr="002A1B5B">
        <w:rPr>
          <w:rFonts w:ascii="Tahoma" w:hAnsi="Tahoma" w:cs="Tahoma"/>
        </w:rPr>
        <w:t xml:space="preserve">Review, monitor, and update embedded local working documents by regular review, testing and responding to feedback from staff, service users &amp; stakeholders. </w:t>
      </w:r>
    </w:p>
    <w:p w14:paraId="469364B0" w14:textId="6FAE431C" w:rsidR="001A3449" w:rsidRPr="002A1B5B" w:rsidRDefault="001A3449" w:rsidP="00D97499">
      <w:pPr>
        <w:pStyle w:val="ListParagraph"/>
        <w:numPr>
          <w:ilvl w:val="0"/>
          <w:numId w:val="44"/>
        </w:numPr>
        <w:spacing w:after="160" w:line="360" w:lineRule="auto"/>
        <w:jc w:val="both"/>
        <w:rPr>
          <w:rFonts w:ascii="Tahoma" w:hAnsi="Tahoma" w:cs="Tahoma"/>
        </w:rPr>
      </w:pPr>
      <w:r w:rsidRPr="002A1B5B">
        <w:rPr>
          <w:rFonts w:ascii="Tahoma" w:hAnsi="Tahoma" w:cs="Tahoma"/>
        </w:rPr>
        <w:t>Ensure that service</w:t>
      </w:r>
      <w:r w:rsidR="00055DAE" w:rsidRPr="002A1B5B">
        <w:rPr>
          <w:rFonts w:ascii="Tahoma" w:hAnsi="Tahoma" w:cs="Tahoma"/>
        </w:rPr>
        <w:t>s</w:t>
      </w:r>
      <w:r w:rsidRPr="002A1B5B">
        <w:rPr>
          <w:rFonts w:ascii="Tahoma" w:hAnsi="Tahoma" w:cs="Tahoma"/>
        </w:rPr>
        <w:t xml:space="preserve"> </w:t>
      </w:r>
      <w:r w:rsidR="00055DAE" w:rsidRPr="002A1B5B">
        <w:rPr>
          <w:rFonts w:ascii="Tahoma" w:hAnsi="Tahoma" w:cs="Tahoma"/>
        </w:rPr>
        <w:t>are</w:t>
      </w:r>
      <w:r w:rsidRPr="002A1B5B">
        <w:rPr>
          <w:rFonts w:ascii="Tahoma" w:hAnsi="Tahoma" w:cs="Tahoma"/>
        </w:rPr>
        <w:t xml:space="preserve"> working to national standards, guidelines and evidence based best practice (NICE, D of H, UKHSA, NMC, OHID, BACP etc) and develop new local policies, procedures and documentation as required to support practice. </w:t>
      </w:r>
    </w:p>
    <w:p w14:paraId="1F8A9BB7" w14:textId="77777777" w:rsidR="001A3449" w:rsidRPr="002A1B5B" w:rsidRDefault="001A3449" w:rsidP="00D97499">
      <w:pPr>
        <w:pStyle w:val="ListParagraph"/>
        <w:numPr>
          <w:ilvl w:val="0"/>
          <w:numId w:val="44"/>
        </w:numPr>
        <w:spacing w:after="160" w:line="360" w:lineRule="auto"/>
        <w:jc w:val="both"/>
        <w:rPr>
          <w:rFonts w:ascii="Tahoma" w:hAnsi="Tahoma" w:cs="Tahoma"/>
        </w:rPr>
      </w:pPr>
      <w:r w:rsidRPr="002A1B5B">
        <w:rPr>
          <w:rFonts w:ascii="Tahoma" w:hAnsi="Tahoma" w:cs="Tahoma"/>
        </w:rPr>
        <w:t xml:space="preserve">Deal with issues arising from planned or completed CQC inspections. This includes sharing learning across the organisation as necessary. </w:t>
      </w:r>
    </w:p>
    <w:p w14:paraId="238484EA" w14:textId="77777777" w:rsidR="001A3449" w:rsidRPr="002A1B5B" w:rsidRDefault="001A3449" w:rsidP="00D97499">
      <w:pPr>
        <w:pStyle w:val="ListParagraph"/>
        <w:numPr>
          <w:ilvl w:val="0"/>
          <w:numId w:val="44"/>
        </w:numPr>
        <w:spacing w:after="160" w:line="360" w:lineRule="auto"/>
        <w:jc w:val="both"/>
        <w:rPr>
          <w:rFonts w:ascii="Tahoma" w:hAnsi="Tahoma" w:cs="Tahoma"/>
        </w:rPr>
      </w:pPr>
      <w:r w:rsidRPr="002A1B5B">
        <w:rPr>
          <w:rFonts w:ascii="Tahoma" w:hAnsi="Tahoma" w:cs="Tahoma"/>
          <w:color w:val="000000" w:themeColor="text1"/>
        </w:rPr>
        <w:t xml:space="preserve">Encouraging clinical feedback via compliments received from service users and stakeholders across the directorate highlighting, sharing and celebrating good practice within the services.  </w:t>
      </w:r>
    </w:p>
    <w:p w14:paraId="31462D1A" w14:textId="77777777" w:rsidR="00424242" w:rsidRDefault="001A3449" w:rsidP="00D97499">
      <w:pPr>
        <w:spacing w:line="360" w:lineRule="auto"/>
        <w:jc w:val="both"/>
        <w:rPr>
          <w:rFonts w:ascii="Tahoma" w:hAnsi="Tahoma" w:cs="Tahoma"/>
        </w:rPr>
      </w:pPr>
      <w:r w:rsidRPr="002A1B5B">
        <w:rPr>
          <w:rFonts w:ascii="Tahoma" w:hAnsi="Tahoma" w:cs="Tahoma"/>
        </w:rPr>
        <w:t>The CWG</w:t>
      </w:r>
      <w:r w:rsidR="006D7F43" w:rsidRPr="002A1B5B">
        <w:rPr>
          <w:rFonts w:ascii="Tahoma" w:hAnsi="Tahoma" w:cs="Tahoma"/>
        </w:rPr>
        <w:t>s</w:t>
      </w:r>
      <w:r w:rsidRPr="002A1B5B">
        <w:rPr>
          <w:rFonts w:ascii="Tahoma" w:hAnsi="Tahoma" w:cs="Tahoma"/>
        </w:rPr>
        <w:t xml:space="preserve"> will maintain oversight of and accountability for the delivery of this safety incident response pla</w:t>
      </w:r>
      <w:r w:rsidR="00F63B4E">
        <w:rPr>
          <w:rFonts w:ascii="Tahoma" w:hAnsi="Tahoma" w:cs="Tahoma"/>
        </w:rPr>
        <w:t>n.</w:t>
      </w:r>
    </w:p>
    <w:p w14:paraId="5721AF76" w14:textId="77777777" w:rsidR="00F63B4E" w:rsidRDefault="00F63B4E" w:rsidP="00D97499">
      <w:pPr>
        <w:spacing w:line="360" w:lineRule="auto"/>
        <w:jc w:val="both"/>
        <w:rPr>
          <w:rFonts w:ascii="Tahoma" w:hAnsi="Tahoma" w:cs="Tahoma"/>
        </w:rPr>
      </w:pPr>
    </w:p>
    <w:p w14:paraId="59229D3F" w14:textId="77777777" w:rsidR="00F63B4E" w:rsidRDefault="00F63B4E" w:rsidP="00D97499">
      <w:pPr>
        <w:spacing w:line="360" w:lineRule="auto"/>
        <w:jc w:val="both"/>
        <w:rPr>
          <w:rFonts w:ascii="Tahoma" w:hAnsi="Tahoma" w:cs="Tahoma"/>
        </w:rPr>
      </w:pPr>
    </w:p>
    <w:p w14:paraId="72C06549" w14:textId="77777777" w:rsidR="00F63B4E" w:rsidRDefault="00F63B4E" w:rsidP="00D97499">
      <w:pPr>
        <w:spacing w:line="360" w:lineRule="auto"/>
        <w:jc w:val="both"/>
        <w:rPr>
          <w:rFonts w:ascii="Tahoma" w:hAnsi="Tahoma" w:cs="Tahoma"/>
        </w:rPr>
      </w:pPr>
    </w:p>
    <w:p w14:paraId="7D2C9E32" w14:textId="77777777" w:rsidR="00F63B4E" w:rsidRDefault="00F63B4E" w:rsidP="00D97499">
      <w:pPr>
        <w:spacing w:line="360" w:lineRule="auto"/>
        <w:jc w:val="both"/>
        <w:rPr>
          <w:rFonts w:ascii="Tahoma" w:hAnsi="Tahoma" w:cs="Tahoma"/>
        </w:rPr>
      </w:pPr>
    </w:p>
    <w:p w14:paraId="47FDFE7B" w14:textId="77777777" w:rsidR="00F63B4E" w:rsidRDefault="00F63B4E" w:rsidP="00D97499">
      <w:pPr>
        <w:spacing w:line="360" w:lineRule="auto"/>
        <w:jc w:val="both"/>
        <w:rPr>
          <w:rFonts w:ascii="Tahoma" w:hAnsi="Tahoma" w:cs="Tahoma"/>
        </w:rPr>
      </w:pPr>
    </w:p>
    <w:p w14:paraId="73755C48" w14:textId="77777777" w:rsidR="00F63B4E" w:rsidRPr="00F63B4E" w:rsidRDefault="00F63B4E" w:rsidP="00B177E1">
      <w:pPr>
        <w:rPr>
          <w:rFonts w:ascii="Tahoma" w:eastAsiaTheme="majorEastAsia" w:hAnsi="Tahoma" w:cs="Tahoma"/>
          <w:sz w:val="28"/>
          <w:szCs w:val="28"/>
        </w:rPr>
      </w:pPr>
    </w:p>
    <w:sectPr w:rsidR="00F63B4E" w:rsidRPr="00F63B4E" w:rsidSect="00F07448">
      <w:pgSz w:w="11906" w:h="16838"/>
      <w:pgMar w:top="1440" w:right="99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673F6" w14:textId="77777777" w:rsidR="00F07448" w:rsidRDefault="00F07448" w:rsidP="00B31C5A">
      <w:pPr>
        <w:spacing w:after="0" w:line="240" w:lineRule="auto"/>
      </w:pPr>
      <w:r>
        <w:separator/>
      </w:r>
    </w:p>
  </w:endnote>
  <w:endnote w:type="continuationSeparator" w:id="0">
    <w:p w14:paraId="4818D686" w14:textId="77777777" w:rsidR="00F07448" w:rsidRDefault="00F07448" w:rsidP="00B31C5A">
      <w:pPr>
        <w:spacing w:after="0" w:line="240" w:lineRule="auto"/>
      </w:pPr>
      <w:r>
        <w:continuationSeparator/>
      </w:r>
    </w:p>
  </w:endnote>
  <w:endnote w:type="continuationNotice" w:id="1">
    <w:p w14:paraId="73C4092D" w14:textId="77777777" w:rsidR="00F07448" w:rsidRDefault="00F07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CE 45 Light">
    <w:altName w:val="Calibri"/>
    <w:panose1 w:val="00000000000000000000"/>
    <w:charset w:val="00"/>
    <w:family w:val="swiss"/>
    <w:notTrueType/>
    <w:pitch w:val="default"/>
    <w:sig w:usb0="00000003" w:usb1="00000000" w:usb2="00000000" w:usb3="00000000" w:csb0="00000001" w:csb1="00000000"/>
  </w:font>
  <w:font w:name="Gotham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D56A" w14:textId="7C5ACE1D" w:rsidR="00C0519A" w:rsidRPr="009D522F" w:rsidRDefault="00870812" w:rsidP="00114E2F">
    <w:pPr>
      <w:tabs>
        <w:tab w:val="left" w:pos="1418"/>
      </w:tabs>
      <w:spacing w:before="120" w:after="120" w:line="240" w:lineRule="auto"/>
      <w:ind w:left="-567" w:right="-45"/>
      <w:rPr>
        <w:rFonts w:ascii="Tahoma" w:hAnsi="Tahoma" w:cs="Tahoma"/>
        <w:sz w:val="16"/>
        <w:szCs w:val="16"/>
      </w:rPr>
    </w:pPr>
    <w:r w:rsidRPr="009D522F">
      <w:rPr>
        <w:rFonts w:ascii="Tahoma" w:hAnsi="Tahoma" w:cs="Tahoma"/>
        <w:sz w:val="16"/>
        <w:szCs w:val="16"/>
      </w:rPr>
      <w:t>Compass S</w:t>
    </w:r>
    <w:r w:rsidR="0015328C" w:rsidRPr="009D522F">
      <w:rPr>
        <w:rFonts w:ascii="Tahoma" w:hAnsi="Tahoma" w:cs="Tahoma"/>
        <w:sz w:val="16"/>
        <w:szCs w:val="16"/>
      </w:rPr>
      <w:t xml:space="preserve">afety </w:t>
    </w:r>
    <w:r w:rsidR="00D70DCF">
      <w:rPr>
        <w:rFonts w:ascii="Tahoma" w:hAnsi="Tahoma" w:cs="Tahoma"/>
        <w:sz w:val="16"/>
        <w:szCs w:val="16"/>
      </w:rPr>
      <w:t>I</w:t>
    </w:r>
    <w:r w:rsidR="0015328C" w:rsidRPr="009D522F">
      <w:rPr>
        <w:rFonts w:ascii="Tahoma" w:hAnsi="Tahoma" w:cs="Tahoma"/>
        <w:sz w:val="16"/>
        <w:szCs w:val="16"/>
      </w:rPr>
      <w:t xml:space="preserve">ncident </w:t>
    </w:r>
    <w:r w:rsidR="00D70DCF">
      <w:rPr>
        <w:rFonts w:ascii="Tahoma" w:hAnsi="Tahoma" w:cs="Tahoma"/>
        <w:sz w:val="16"/>
        <w:szCs w:val="16"/>
      </w:rPr>
      <w:t>R</w:t>
    </w:r>
    <w:r w:rsidR="0015328C" w:rsidRPr="009D522F">
      <w:rPr>
        <w:rFonts w:ascii="Tahoma" w:hAnsi="Tahoma" w:cs="Tahoma"/>
        <w:sz w:val="16"/>
        <w:szCs w:val="16"/>
      </w:rPr>
      <w:t>esponse</w:t>
    </w:r>
    <w:r w:rsidR="00D70DCF">
      <w:rPr>
        <w:rFonts w:ascii="Tahoma" w:hAnsi="Tahoma" w:cs="Tahoma"/>
        <w:sz w:val="16"/>
        <w:szCs w:val="16"/>
      </w:rPr>
      <w:t xml:space="preserve"> Plan</w:t>
    </w:r>
    <w:r w:rsidR="0015328C" w:rsidRPr="009D522F">
      <w:rPr>
        <w:rFonts w:ascii="Tahoma" w:hAnsi="Tahoma" w:cs="Tahoma"/>
        <w:sz w:val="16"/>
        <w:szCs w:val="16"/>
      </w:rPr>
      <w:t xml:space="preserve"> </w:t>
    </w:r>
  </w:p>
  <w:p w14:paraId="4EE4B2BA" w14:textId="2E718B01" w:rsidR="009D522F" w:rsidRPr="00D70DCF" w:rsidRDefault="00D70DCF" w:rsidP="00D70DCF">
    <w:pPr>
      <w:tabs>
        <w:tab w:val="left" w:pos="1418"/>
      </w:tabs>
      <w:spacing w:before="120" w:after="120" w:line="240" w:lineRule="auto"/>
      <w:ind w:left="-567" w:right="-45"/>
      <w:rPr>
        <w:rFonts w:ascii="Tahoma" w:eastAsia="Calibri" w:hAnsi="Tahoma" w:cs="Tahoma"/>
        <w:sz w:val="16"/>
        <w:szCs w:val="16"/>
      </w:rPr>
    </w:pPr>
    <w:r>
      <w:rPr>
        <w:rFonts w:ascii="Tahoma" w:hAnsi="Tahoma" w:cs="Tahoma"/>
        <w:sz w:val="16"/>
        <w:szCs w:val="16"/>
      </w:rPr>
      <w:t xml:space="preserve">Final </w:t>
    </w:r>
    <w:r w:rsidR="00D838CF">
      <w:rPr>
        <w:rFonts w:ascii="Tahoma" w:hAnsi="Tahoma" w:cs="Tahoma"/>
        <w:sz w:val="16"/>
        <w:szCs w:val="16"/>
      </w:rPr>
      <w:t>Version 1.0</w:t>
    </w:r>
    <w:r w:rsidR="00CC329E">
      <w:rPr>
        <w:rFonts w:ascii="Tahoma" w:hAnsi="Tahoma" w:cs="Tahoma"/>
        <w:sz w:val="16"/>
        <w:szCs w:val="16"/>
      </w:rPr>
      <w:t xml:space="preserve"> </w:t>
    </w:r>
    <w:r w:rsidR="00D838CF">
      <w:rPr>
        <w:rFonts w:ascii="Tahoma" w:hAnsi="Tahoma" w:cs="Tahoma"/>
        <w:sz w:val="16"/>
        <w:szCs w:val="16"/>
      </w:rPr>
      <w:t>20</w:t>
    </w:r>
    <w:r w:rsidR="00CC329E">
      <w:rPr>
        <w:rFonts w:ascii="Tahoma" w:hAnsi="Tahoma" w:cs="Tahoma"/>
        <w:sz w:val="16"/>
        <w:szCs w:val="16"/>
      </w:rPr>
      <w:t xml:space="preserve"> February</w:t>
    </w:r>
    <w:r w:rsidRPr="009D522F">
      <w:rPr>
        <w:rFonts w:ascii="Tahoma" w:hAnsi="Tahoma" w:cs="Tahoma"/>
        <w:sz w:val="16"/>
        <w:szCs w:val="16"/>
      </w:rPr>
      <w:t xml:space="preserve"> 2024</w:t>
    </w:r>
  </w:p>
  <w:p w14:paraId="12325D02" w14:textId="77777777" w:rsidR="00D70DCF" w:rsidRDefault="00D70DCF" w:rsidP="00114E2F">
    <w:pPr>
      <w:tabs>
        <w:tab w:val="left" w:pos="1418"/>
      </w:tabs>
      <w:spacing w:before="120" w:after="120" w:line="240" w:lineRule="auto"/>
      <w:ind w:left="-567" w:right="-45"/>
      <w:rPr>
        <w:rFonts w:ascii="Tahoma" w:hAnsi="Tahoma" w:cs="Tahoma"/>
        <w:sz w:val="16"/>
        <w:szCs w:val="16"/>
      </w:rPr>
    </w:pPr>
    <w:r>
      <w:rPr>
        <w:rFonts w:ascii="Tahoma" w:hAnsi="Tahoma" w:cs="Tahoma"/>
        <w:sz w:val="16"/>
        <w:szCs w:val="16"/>
      </w:rPr>
      <w:t>Owner: Quality Assurance lead</w:t>
    </w:r>
  </w:p>
  <w:p w14:paraId="465049A1" w14:textId="77777777" w:rsidR="00C0519A" w:rsidRDefault="00C0519A" w:rsidP="00F17175">
    <w:pPr>
      <w:pStyle w:val="Footer"/>
      <w:jc w:val="center"/>
    </w:pPr>
    <w:r>
      <w:ptab w:relativeTo="margin" w:alignment="right" w:leader="none"/>
    </w:r>
    <w:r>
      <w:t xml:space="preserve">Page </w:t>
    </w:r>
    <w:r>
      <w:rPr>
        <w:b/>
      </w:rPr>
      <w:fldChar w:fldCharType="begin"/>
    </w:r>
    <w:r>
      <w:rPr>
        <w:b/>
      </w:rPr>
      <w:instrText xml:space="preserve"> PAGE  \* Arabic  \* MERGEFORMAT </w:instrText>
    </w:r>
    <w:r>
      <w:rPr>
        <w:b/>
      </w:rPr>
      <w:fldChar w:fldCharType="separate"/>
    </w:r>
    <w:r>
      <w:rPr>
        <w:b/>
        <w:noProof/>
      </w:rPr>
      <w:t>12</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0F17E" w14:textId="77777777" w:rsidR="00F07448" w:rsidRDefault="00F07448" w:rsidP="00B31C5A">
      <w:pPr>
        <w:spacing w:after="0" w:line="240" w:lineRule="auto"/>
      </w:pPr>
      <w:r>
        <w:separator/>
      </w:r>
    </w:p>
  </w:footnote>
  <w:footnote w:type="continuationSeparator" w:id="0">
    <w:p w14:paraId="106A2484" w14:textId="77777777" w:rsidR="00F07448" w:rsidRDefault="00F07448" w:rsidP="00B31C5A">
      <w:pPr>
        <w:spacing w:after="0" w:line="240" w:lineRule="auto"/>
      </w:pPr>
      <w:r>
        <w:continuationSeparator/>
      </w:r>
    </w:p>
  </w:footnote>
  <w:footnote w:type="continuationNotice" w:id="1">
    <w:p w14:paraId="675D9ADE" w14:textId="77777777" w:rsidR="00F07448" w:rsidRDefault="00F07448">
      <w:pPr>
        <w:spacing w:after="0" w:line="240" w:lineRule="auto"/>
      </w:pPr>
    </w:p>
  </w:footnote>
  <w:footnote w:id="2">
    <w:p w14:paraId="5566A0D5" w14:textId="05832645" w:rsidR="00EB3363" w:rsidRDefault="00EB3363" w:rsidP="00D70DCF">
      <w:pPr>
        <w:pStyle w:val="FootnoteText"/>
        <w:jc w:val="both"/>
      </w:pPr>
      <w:r>
        <w:rPr>
          <w:rStyle w:val="FootnoteReference"/>
        </w:rPr>
        <w:footnoteRef/>
      </w:r>
      <w:r>
        <w:t xml:space="preserve"> </w:t>
      </w:r>
      <w:r w:rsidRPr="00D70DCF">
        <w:rPr>
          <w:rFonts w:ascii="Tahoma" w:hAnsi="Tahoma" w:cs="Tahoma"/>
          <w:color w:val="202124"/>
          <w:sz w:val="18"/>
          <w:szCs w:val="18"/>
          <w:shd w:val="clear" w:color="auto" w:fill="FFFFFF"/>
        </w:rPr>
        <w:t>Never Events are defined as Serious Incidents that are wholly preventable because guidance or safety recommendations that provide strong systemic protective barriers are available at a national level and should have been implemented by all healthcare providers</w:t>
      </w:r>
      <w:r w:rsidR="00F15679">
        <w:rPr>
          <w:rFonts w:ascii="Tahoma" w:hAnsi="Tahoma" w:cs="Tahoma"/>
          <w:color w:val="202124"/>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8EB9E8"/>
    <w:multiLevelType w:val="hybridMultilevel"/>
    <w:tmpl w:val="C36711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01C73"/>
    <w:multiLevelType w:val="hybridMultilevel"/>
    <w:tmpl w:val="5CEAE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C11B96"/>
    <w:multiLevelType w:val="hybridMultilevel"/>
    <w:tmpl w:val="0BBC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06C93"/>
    <w:multiLevelType w:val="hybridMultilevel"/>
    <w:tmpl w:val="320A26B8"/>
    <w:lvl w:ilvl="0" w:tplc="2F10D490">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26A38"/>
    <w:multiLevelType w:val="hybridMultilevel"/>
    <w:tmpl w:val="6E6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33558"/>
    <w:multiLevelType w:val="hybridMultilevel"/>
    <w:tmpl w:val="B78E3628"/>
    <w:lvl w:ilvl="0" w:tplc="0D8C39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EA7A69"/>
    <w:multiLevelType w:val="hybridMultilevel"/>
    <w:tmpl w:val="DFB6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47E8F"/>
    <w:multiLevelType w:val="hybridMultilevel"/>
    <w:tmpl w:val="1EF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6D69A6"/>
    <w:multiLevelType w:val="hybridMultilevel"/>
    <w:tmpl w:val="8D1E641C"/>
    <w:lvl w:ilvl="0" w:tplc="1BC6BA06">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C207C"/>
    <w:multiLevelType w:val="hybridMultilevel"/>
    <w:tmpl w:val="EA86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341662"/>
    <w:multiLevelType w:val="hybridMultilevel"/>
    <w:tmpl w:val="D258F6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177E5EE4"/>
    <w:multiLevelType w:val="hybridMultilevel"/>
    <w:tmpl w:val="320A26B8"/>
    <w:lvl w:ilvl="0" w:tplc="FFFFFFFF">
      <w:start w:val="1"/>
      <w:numFmt w:val="decimal"/>
      <w:lvlText w:val="%1."/>
      <w:lvlJc w:val="left"/>
      <w:pPr>
        <w:ind w:left="720" w:hanging="360"/>
      </w:pPr>
      <w:rPr>
        <w:rFonts w:eastAsia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E75656"/>
    <w:multiLevelType w:val="hybridMultilevel"/>
    <w:tmpl w:val="A1B8B8B6"/>
    <w:lvl w:ilvl="0" w:tplc="9B36E15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3D47D9"/>
    <w:multiLevelType w:val="hybridMultilevel"/>
    <w:tmpl w:val="E7A444BC"/>
    <w:lvl w:ilvl="0" w:tplc="90822C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76AFB"/>
    <w:multiLevelType w:val="hybridMultilevel"/>
    <w:tmpl w:val="E1A054D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5" w15:restartNumberingAfterBreak="0">
    <w:nsid w:val="250444A6"/>
    <w:multiLevelType w:val="multilevel"/>
    <w:tmpl w:val="A39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8F3B09"/>
    <w:multiLevelType w:val="hybridMultilevel"/>
    <w:tmpl w:val="2392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669B7"/>
    <w:multiLevelType w:val="hybridMultilevel"/>
    <w:tmpl w:val="BB3C5F5C"/>
    <w:lvl w:ilvl="0" w:tplc="C270E7D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50C47"/>
    <w:multiLevelType w:val="hybridMultilevel"/>
    <w:tmpl w:val="BFFCBFF4"/>
    <w:lvl w:ilvl="0" w:tplc="E89EBA86">
      <w:start w:val="1"/>
      <w:numFmt w:val="bullet"/>
      <w:lvlText w:val=""/>
      <w:lvlJc w:val="left"/>
      <w:pPr>
        <w:ind w:left="360" w:hanging="360"/>
      </w:pPr>
      <w:rPr>
        <w:rFonts w:ascii="Symbol" w:hAnsi="Symbol" w:hint="default"/>
        <w:b/>
        <w:i w:val="0"/>
        <w:sz w:val="20"/>
      </w:rPr>
    </w:lvl>
    <w:lvl w:ilvl="1" w:tplc="9C587E1C">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CE49A8"/>
    <w:multiLevelType w:val="hybridMultilevel"/>
    <w:tmpl w:val="B77E03D2"/>
    <w:lvl w:ilvl="0" w:tplc="EF1EDB3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32EB"/>
    <w:multiLevelType w:val="hybridMultilevel"/>
    <w:tmpl w:val="1EB8C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59066E"/>
    <w:multiLevelType w:val="hybridMultilevel"/>
    <w:tmpl w:val="A15260FA"/>
    <w:lvl w:ilvl="0" w:tplc="F69C481C">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5280205"/>
    <w:multiLevelType w:val="multilevel"/>
    <w:tmpl w:val="4F50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2E3772"/>
    <w:multiLevelType w:val="hybridMultilevel"/>
    <w:tmpl w:val="320A26B8"/>
    <w:lvl w:ilvl="0" w:tplc="FFFFFFFF">
      <w:start w:val="1"/>
      <w:numFmt w:val="decimal"/>
      <w:lvlText w:val="%1."/>
      <w:lvlJc w:val="left"/>
      <w:pPr>
        <w:ind w:left="720" w:hanging="360"/>
      </w:pPr>
      <w:rPr>
        <w:rFonts w:eastAsia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89348F"/>
    <w:multiLevelType w:val="hybridMultilevel"/>
    <w:tmpl w:val="806ADC5E"/>
    <w:lvl w:ilvl="0" w:tplc="A226F58C">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8F09E5"/>
    <w:multiLevelType w:val="hybridMultilevel"/>
    <w:tmpl w:val="B34CD96C"/>
    <w:lvl w:ilvl="0" w:tplc="9734341E">
      <w:start w:val="1"/>
      <w:numFmt w:val="bullet"/>
      <w:lvlText w:val=""/>
      <w:lvlJc w:val="left"/>
      <w:pPr>
        <w:ind w:left="1080" w:hanging="360"/>
      </w:pPr>
      <w:rPr>
        <w:rFonts w:ascii="Symbol" w:hAnsi="Symbol" w:hint="default"/>
        <w:color w:val="005EB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9771730"/>
    <w:multiLevelType w:val="hybridMultilevel"/>
    <w:tmpl w:val="746000A8"/>
    <w:lvl w:ilvl="0" w:tplc="90822C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6F279A"/>
    <w:multiLevelType w:val="hybridMultilevel"/>
    <w:tmpl w:val="320A26B8"/>
    <w:lvl w:ilvl="0" w:tplc="FFFFFFFF">
      <w:start w:val="1"/>
      <w:numFmt w:val="decimal"/>
      <w:lvlText w:val="%1."/>
      <w:lvlJc w:val="left"/>
      <w:pPr>
        <w:ind w:left="720" w:hanging="360"/>
      </w:pPr>
      <w:rPr>
        <w:rFonts w:eastAsia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825AE7"/>
    <w:multiLevelType w:val="hybridMultilevel"/>
    <w:tmpl w:val="D17AB1F8"/>
    <w:lvl w:ilvl="0" w:tplc="26E0BCD2">
      <w:start w:val="1"/>
      <w:numFmt w:val="bullet"/>
      <w:lvlText w:val=""/>
      <w:lvlJc w:val="left"/>
      <w:pPr>
        <w:ind w:left="765" w:hanging="360"/>
      </w:pPr>
      <w:rPr>
        <w:rFonts w:ascii="Symbol" w:hAnsi="Symbol" w:hint="default"/>
        <w:color w:val="0070C0"/>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557105DD"/>
    <w:multiLevelType w:val="hybridMultilevel"/>
    <w:tmpl w:val="1F543276"/>
    <w:lvl w:ilvl="0" w:tplc="08090001">
      <w:start w:val="1"/>
      <w:numFmt w:val="bullet"/>
      <w:lvlText w:val=""/>
      <w:lvlJc w:val="left"/>
      <w:pPr>
        <w:ind w:left="1256" w:hanging="360"/>
      </w:pPr>
      <w:rPr>
        <w:rFonts w:ascii="Symbol" w:hAnsi="Symbol" w:hint="default"/>
      </w:rPr>
    </w:lvl>
    <w:lvl w:ilvl="1" w:tplc="08090003" w:tentative="1">
      <w:start w:val="1"/>
      <w:numFmt w:val="bullet"/>
      <w:lvlText w:val="o"/>
      <w:lvlJc w:val="left"/>
      <w:pPr>
        <w:ind w:left="1976" w:hanging="360"/>
      </w:pPr>
      <w:rPr>
        <w:rFonts w:ascii="Courier New" w:hAnsi="Courier New" w:cs="Courier New" w:hint="default"/>
      </w:rPr>
    </w:lvl>
    <w:lvl w:ilvl="2" w:tplc="08090005" w:tentative="1">
      <w:start w:val="1"/>
      <w:numFmt w:val="bullet"/>
      <w:lvlText w:val=""/>
      <w:lvlJc w:val="left"/>
      <w:pPr>
        <w:ind w:left="2696" w:hanging="360"/>
      </w:pPr>
      <w:rPr>
        <w:rFonts w:ascii="Wingdings" w:hAnsi="Wingdings" w:hint="default"/>
      </w:rPr>
    </w:lvl>
    <w:lvl w:ilvl="3" w:tplc="08090001" w:tentative="1">
      <w:start w:val="1"/>
      <w:numFmt w:val="bullet"/>
      <w:lvlText w:val=""/>
      <w:lvlJc w:val="left"/>
      <w:pPr>
        <w:ind w:left="3416" w:hanging="360"/>
      </w:pPr>
      <w:rPr>
        <w:rFonts w:ascii="Symbol" w:hAnsi="Symbol" w:hint="default"/>
      </w:rPr>
    </w:lvl>
    <w:lvl w:ilvl="4" w:tplc="08090003" w:tentative="1">
      <w:start w:val="1"/>
      <w:numFmt w:val="bullet"/>
      <w:lvlText w:val="o"/>
      <w:lvlJc w:val="left"/>
      <w:pPr>
        <w:ind w:left="4136" w:hanging="360"/>
      </w:pPr>
      <w:rPr>
        <w:rFonts w:ascii="Courier New" w:hAnsi="Courier New" w:cs="Courier New" w:hint="default"/>
      </w:rPr>
    </w:lvl>
    <w:lvl w:ilvl="5" w:tplc="08090005" w:tentative="1">
      <w:start w:val="1"/>
      <w:numFmt w:val="bullet"/>
      <w:lvlText w:val=""/>
      <w:lvlJc w:val="left"/>
      <w:pPr>
        <w:ind w:left="4856" w:hanging="360"/>
      </w:pPr>
      <w:rPr>
        <w:rFonts w:ascii="Wingdings" w:hAnsi="Wingdings" w:hint="default"/>
      </w:rPr>
    </w:lvl>
    <w:lvl w:ilvl="6" w:tplc="08090001" w:tentative="1">
      <w:start w:val="1"/>
      <w:numFmt w:val="bullet"/>
      <w:lvlText w:val=""/>
      <w:lvlJc w:val="left"/>
      <w:pPr>
        <w:ind w:left="5576" w:hanging="360"/>
      </w:pPr>
      <w:rPr>
        <w:rFonts w:ascii="Symbol" w:hAnsi="Symbol" w:hint="default"/>
      </w:rPr>
    </w:lvl>
    <w:lvl w:ilvl="7" w:tplc="08090003" w:tentative="1">
      <w:start w:val="1"/>
      <w:numFmt w:val="bullet"/>
      <w:lvlText w:val="o"/>
      <w:lvlJc w:val="left"/>
      <w:pPr>
        <w:ind w:left="6296" w:hanging="360"/>
      </w:pPr>
      <w:rPr>
        <w:rFonts w:ascii="Courier New" w:hAnsi="Courier New" w:cs="Courier New" w:hint="default"/>
      </w:rPr>
    </w:lvl>
    <w:lvl w:ilvl="8" w:tplc="08090005" w:tentative="1">
      <w:start w:val="1"/>
      <w:numFmt w:val="bullet"/>
      <w:lvlText w:val=""/>
      <w:lvlJc w:val="left"/>
      <w:pPr>
        <w:ind w:left="7016" w:hanging="360"/>
      </w:pPr>
      <w:rPr>
        <w:rFonts w:ascii="Wingdings" w:hAnsi="Wingdings" w:hint="default"/>
      </w:rPr>
    </w:lvl>
  </w:abstractNum>
  <w:abstractNum w:abstractNumId="30" w15:restartNumberingAfterBreak="0">
    <w:nsid w:val="577E328A"/>
    <w:multiLevelType w:val="hybridMultilevel"/>
    <w:tmpl w:val="9C2A7FC6"/>
    <w:lvl w:ilvl="0" w:tplc="70FC15C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2B48BC"/>
    <w:multiLevelType w:val="hybridMultilevel"/>
    <w:tmpl w:val="3C32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10990"/>
    <w:multiLevelType w:val="hybridMultilevel"/>
    <w:tmpl w:val="F4F8656C"/>
    <w:lvl w:ilvl="0" w:tplc="E89EBA86">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BE3E0A"/>
    <w:multiLevelType w:val="hybridMultilevel"/>
    <w:tmpl w:val="715A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60618"/>
    <w:multiLevelType w:val="hybridMultilevel"/>
    <w:tmpl w:val="DEB42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B2131"/>
    <w:multiLevelType w:val="hybridMultilevel"/>
    <w:tmpl w:val="4DDC7EF8"/>
    <w:lvl w:ilvl="0" w:tplc="901CEE0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98489B"/>
    <w:multiLevelType w:val="hybridMultilevel"/>
    <w:tmpl w:val="73423386"/>
    <w:lvl w:ilvl="0" w:tplc="C750BB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632DF"/>
    <w:multiLevelType w:val="hybridMultilevel"/>
    <w:tmpl w:val="84C2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C5921"/>
    <w:multiLevelType w:val="hybridMultilevel"/>
    <w:tmpl w:val="3F2CFB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69BA5C02"/>
    <w:multiLevelType w:val="hybridMultilevel"/>
    <w:tmpl w:val="320A26B8"/>
    <w:lvl w:ilvl="0" w:tplc="FFFFFFFF">
      <w:start w:val="1"/>
      <w:numFmt w:val="decimal"/>
      <w:lvlText w:val="%1."/>
      <w:lvlJc w:val="left"/>
      <w:pPr>
        <w:ind w:left="720" w:hanging="360"/>
      </w:pPr>
      <w:rPr>
        <w:rFonts w:eastAsia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F56A8E"/>
    <w:multiLevelType w:val="hybridMultilevel"/>
    <w:tmpl w:val="0BC62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5E2E06"/>
    <w:multiLevelType w:val="hybridMultilevel"/>
    <w:tmpl w:val="EDEE7FBA"/>
    <w:lvl w:ilvl="0" w:tplc="90EA090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8738F9"/>
    <w:multiLevelType w:val="hybridMultilevel"/>
    <w:tmpl w:val="BE184A96"/>
    <w:lvl w:ilvl="0" w:tplc="0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2E67A7"/>
    <w:multiLevelType w:val="hybridMultilevel"/>
    <w:tmpl w:val="6B70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EF09D8"/>
    <w:multiLevelType w:val="hybridMultilevel"/>
    <w:tmpl w:val="C934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3341DA"/>
    <w:multiLevelType w:val="hybridMultilevel"/>
    <w:tmpl w:val="DBD28004"/>
    <w:lvl w:ilvl="0" w:tplc="B066DA48">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4359254">
    <w:abstractNumId w:val="32"/>
  </w:num>
  <w:num w:numId="2" w16cid:durableId="274101571">
    <w:abstractNumId w:val="18"/>
  </w:num>
  <w:num w:numId="3" w16cid:durableId="18045930">
    <w:abstractNumId w:val="38"/>
  </w:num>
  <w:num w:numId="4" w16cid:durableId="937636493">
    <w:abstractNumId w:val="21"/>
  </w:num>
  <w:num w:numId="5" w16cid:durableId="61758696">
    <w:abstractNumId w:val="2"/>
  </w:num>
  <w:num w:numId="6" w16cid:durableId="318460477">
    <w:abstractNumId w:val="6"/>
  </w:num>
  <w:num w:numId="7" w16cid:durableId="364722628">
    <w:abstractNumId w:val="42"/>
  </w:num>
  <w:num w:numId="8" w16cid:durableId="1243374868">
    <w:abstractNumId w:val="21"/>
  </w:num>
  <w:num w:numId="9" w16cid:durableId="1931623710">
    <w:abstractNumId w:val="20"/>
  </w:num>
  <w:num w:numId="10" w16cid:durableId="814689542">
    <w:abstractNumId w:val="29"/>
  </w:num>
  <w:num w:numId="11" w16cid:durableId="1747452588">
    <w:abstractNumId w:val="1"/>
  </w:num>
  <w:num w:numId="12" w16cid:durableId="1851793829">
    <w:abstractNumId w:val="36"/>
  </w:num>
  <w:num w:numId="13" w16cid:durableId="365327131">
    <w:abstractNumId w:val="31"/>
  </w:num>
  <w:num w:numId="14" w16cid:durableId="1763866647">
    <w:abstractNumId w:val="44"/>
  </w:num>
  <w:num w:numId="15" w16cid:durableId="1341738513">
    <w:abstractNumId w:val="4"/>
  </w:num>
  <w:num w:numId="16" w16cid:durableId="710762496">
    <w:abstractNumId w:val="0"/>
  </w:num>
  <w:num w:numId="17" w16cid:durableId="66734597">
    <w:abstractNumId w:val="43"/>
  </w:num>
  <w:num w:numId="18" w16cid:durableId="133261854">
    <w:abstractNumId w:val="13"/>
  </w:num>
  <w:num w:numId="19" w16cid:durableId="957447136">
    <w:abstractNumId w:val="26"/>
  </w:num>
  <w:num w:numId="20" w16cid:durableId="637347347">
    <w:abstractNumId w:val="40"/>
  </w:num>
  <w:num w:numId="21" w16cid:durableId="591472337">
    <w:abstractNumId w:val="14"/>
  </w:num>
  <w:num w:numId="22" w16cid:durableId="931548987">
    <w:abstractNumId w:val="5"/>
  </w:num>
  <w:num w:numId="23" w16cid:durableId="1624269651">
    <w:abstractNumId w:val="7"/>
  </w:num>
  <w:num w:numId="24" w16cid:durableId="1164589670">
    <w:abstractNumId w:val="22"/>
  </w:num>
  <w:num w:numId="25" w16cid:durableId="289020220">
    <w:abstractNumId w:val="15"/>
  </w:num>
  <w:num w:numId="26" w16cid:durableId="1583223893">
    <w:abstractNumId w:val="9"/>
  </w:num>
  <w:num w:numId="27" w16cid:durableId="1643194749">
    <w:abstractNumId w:val="10"/>
  </w:num>
  <w:num w:numId="28" w16cid:durableId="1651059199">
    <w:abstractNumId w:val="12"/>
  </w:num>
  <w:num w:numId="29" w16cid:durableId="104734582">
    <w:abstractNumId w:val="19"/>
  </w:num>
  <w:num w:numId="30" w16cid:durableId="1551452097">
    <w:abstractNumId w:val="37"/>
  </w:num>
  <w:num w:numId="31" w16cid:durableId="1042561371">
    <w:abstractNumId w:val="41"/>
  </w:num>
  <w:num w:numId="32" w16cid:durableId="1853183960">
    <w:abstractNumId w:val="35"/>
  </w:num>
  <w:num w:numId="33" w16cid:durableId="1357191433">
    <w:abstractNumId w:val="28"/>
  </w:num>
  <w:num w:numId="34" w16cid:durableId="1197430217">
    <w:abstractNumId w:val="30"/>
  </w:num>
  <w:num w:numId="35" w16cid:durableId="1933583580">
    <w:abstractNumId w:val="25"/>
  </w:num>
  <w:num w:numId="36" w16cid:durableId="1640301400">
    <w:abstractNumId w:val="17"/>
  </w:num>
  <w:num w:numId="37" w16cid:durableId="1870100052">
    <w:abstractNumId w:val="45"/>
  </w:num>
  <w:num w:numId="38" w16cid:durableId="2007978768">
    <w:abstractNumId w:val="24"/>
  </w:num>
  <w:num w:numId="39" w16cid:durableId="1194003111">
    <w:abstractNumId w:val="16"/>
  </w:num>
  <w:num w:numId="40" w16cid:durableId="1030035263">
    <w:abstractNumId w:val="8"/>
  </w:num>
  <w:num w:numId="41" w16cid:durableId="1837112525">
    <w:abstractNumId w:val="3"/>
  </w:num>
  <w:num w:numId="42" w16cid:durableId="299650194">
    <w:abstractNumId w:val="11"/>
  </w:num>
  <w:num w:numId="43" w16cid:durableId="921766784">
    <w:abstractNumId w:val="33"/>
  </w:num>
  <w:num w:numId="44" w16cid:durableId="1852063600">
    <w:abstractNumId w:val="34"/>
  </w:num>
  <w:num w:numId="45" w16cid:durableId="1917664010">
    <w:abstractNumId w:val="27"/>
  </w:num>
  <w:num w:numId="46" w16cid:durableId="1417285868">
    <w:abstractNumId w:val="23"/>
  </w:num>
  <w:num w:numId="47" w16cid:durableId="209966808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AA"/>
    <w:rsid w:val="00000451"/>
    <w:rsid w:val="00004A2B"/>
    <w:rsid w:val="0000546E"/>
    <w:rsid w:val="0000557E"/>
    <w:rsid w:val="000107A4"/>
    <w:rsid w:val="00010967"/>
    <w:rsid w:val="00015061"/>
    <w:rsid w:val="00017068"/>
    <w:rsid w:val="000222D0"/>
    <w:rsid w:val="000240E8"/>
    <w:rsid w:val="00027016"/>
    <w:rsid w:val="0002790E"/>
    <w:rsid w:val="000314D9"/>
    <w:rsid w:val="000320C8"/>
    <w:rsid w:val="00034691"/>
    <w:rsid w:val="00034E4F"/>
    <w:rsid w:val="00037C73"/>
    <w:rsid w:val="00040046"/>
    <w:rsid w:val="000410DF"/>
    <w:rsid w:val="00043B59"/>
    <w:rsid w:val="00046220"/>
    <w:rsid w:val="00051C56"/>
    <w:rsid w:val="00051D45"/>
    <w:rsid w:val="00052F36"/>
    <w:rsid w:val="00055DAE"/>
    <w:rsid w:val="000562D2"/>
    <w:rsid w:val="000661C5"/>
    <w:rsid w:val="00067E5F"/>
    <w:rsid w:val="000722C6"/>
    <w:rsid w:val="00072AB3"/>
    <w:rsid w:val="00073126"/>
    <w:rsid w:val="0007746E"/>
    <w:rsid w:val="00086770"/>
    <w:rsid w:val="00090C5C"/>
    <w:rsid w:val="00097C53"/>
    <w:rsid w:val="000A16A6"/>
    <w:rsid w:val="000A1FF4"/>
    <w:rsid w:val="000A4E08"/>
    <w:rsid w:val="000A5254"/>
    <w:rsid w:val="000B0095"/>
    <w:rsid w:val="000B0F6D"/>
    <w:rsid w:val="000B6D8A"/>
    <w:rsid w:val="000B7989"/>
    <w:rsid w:val="000C2135"/>
    <w:rsid w:val="000C3A30"/>
    <w:rsid w:val="000D298B"/>
    <w:rsid w:val="000D3FDA"/>
    <w:rsid w:val="000D56E3"/>
    <w:rsid w:val="000E0CEE"/>
    <w:rsid w:val="000E11BC"/>
    <w:rsid w:val="000E1851"/>
    <w:rsid w:val="000E1B80"/>
    <w:rsid w:val="000E28D8"/>
    <w:rsid w:val="000E31F1"/>
    <w:rsid w:val="000E4490"/>
    <w:rsid w:val="000F19AC"/>
    <w:rsid w:val="000F1E9E"/>
    <w:rsid w:val="000F265D"/>
    <w:rsid w:val="000F36D1"/>
    <w:rsid w:val="000F4364"/>
    <w:rsid w:val="001004E1"/>
    <w:rsid w:val="001009A1"/>
    <w:rsid w:val="00101C6C"/>
    <w:rsid w:val="00104829"/>
    <w:rsid w:val="001048F5"/>
    <w:rsid w:val="00104DD3"/>
    <w:rsid w:val="00111224"/>
    <w:rsid w:val="001115DE"/>
    <w:rsid w:val="00113BAE"/>
    <w:rsid w:val="001148CE"/>
    <w:rsid w:val="00114E2F"/>
    <w:rsid w:val="00114E59"/>
    <w:rsid w:val="00115A17"/>
    <w:rsid w:val="00116B91"/>
    <w:rsid w:val="00116F69"/>
    <w:rsid w:val="001205E3"/>
    <w:rsid w:val="00124221"/>
    <w:rsid w:val="0013037C"/>
    <w:rsid w:val="0013044D"/>
    <w:rsid w:val="00131815"/>
    <w:rsid w:val="00132103"/>
    <w:rsid w:val="001334D9"/>
    <w:rsid w:val="00140CD3"/>
    <w:rsid w:val="00141829"/>
    <w:rsid w:val="00147246"/>
    <w:rsid w:val="00150533"/>
    <w:rsid w:val="0015131B"/>
    <w:rsid w:val="00151528"/>
    <w:rsid w:val="0015328C"/>
    <w:rsid w:val="0015348D"/>
    <w:rsid w:val="00154745"/>
    <w:rsid w:val="001552D7"/>
    <w:rsid w:val="00156B3D"/>
    <w:rsid w:val="00160C81"/>
    <w:rsid w:val="0016121D"/>
    <w:rsid w:val="00163F42"/>
    <w:rsid w:val="0016564D"/>
    <w:rsid w:val="001668BC"/>
    <w:rsid w:val="0016763F"/>
    <w:rsid w:val="00170BD2"/>
    <w:rsid w:val="0017199B"/>
    <w:rsid w:val="00171E5F"/>
    <w:rsid w:val="0017262F"/>
    <w:rsid w:val="00173691"/>
    <w:rsid w:val="00175D37"/>
    <w:rsid w:val="00180506"/>
    <w:rsid w:val="00181092"/>
    <w:rsid w:val="0018110D"/>
    <w:rsid w:val="00182402"/>
    <w:rsid w:val="00183EDF"/>
    <w:rsid w:val="00190EC9"/>
    <w:rsid w:val="001939FE"/>
    <w:rsid w:val="00193CE1"/>
    <w:rsid w:val="00196320"/>
    <w:rsid w:val="001968F0"/>
    <w:rsid w:val="00196F24"/>
    <w:rsid w:val="001A19D1"/>
    <w:rsid w:val="001A3449"/>
    <w:rsid w:val="001A59DF"/>
    <w:rsid w:val="001A6705"/>
    <w:rsid w:val="001B049A"/>
    <w:rsid w:val="001B0AF9"/>
    <w:rsid w:val="001B1199"/>
    <w:rsid w:val="001B1E48"/>
    <w:rsid w:val="001B20A4"/>
    <w:rsid w:val="001B27A2"/>
    <w:rsid w:val="001C0DDE"/>
    <w:rsid w:val="001C1427"/>
    <w:rsid w:val="001C3F72"/>
    <w:rsid w:val="001C5E04"/>
    <w:rsid w:val="001C7D8C"/>
    <w:rsid w:val="001C7FAE"/>
    <w:rsid w:val="001E2392"/>
    <w:rsid w:val="001E64A6"/>
    <w:rsid w:val="001F0405"/>
    <w:rsid w:val="001F04B2"/>
    <w:rsid w:val="001F1D8C"/>
    <w:rsid w:val="001F5A6B"/>
    <w:rsid w:val="00202E13"/>
    <w:rsid w:val="00204ACC"/>
    <w:rsid w:val="00211341"/>
    <w:rsid w:val="00211B9E"/>
    <w:rsid w:val="00213934"/>
    <w:rsid w:val="00214E3D"/>
    <w:rsid w:val="00221D95"/>
    <w:rsid w:val="00225135"/>
    <w:rsid w:val="002257E8"/>
    <w:rsid w:val="002276E6"/>
    <w:rsid w:val="00227BB1"/>
    <w:rsid w:val="00231884"/>
    <w:rsid w:val="00232B1A"/>
    <w:rsid w:val="00233B24"/>
    <w:rsid w:val="00234584"/>
    <w:rsid w:val="00240EDC"/>
    <w:rsid w:val="0024122B"/>
    <w:rsid w:val="00243601"/>
    <w:rsid w:val="002439AD"/>
    <w:rsid w:val="00244AF9"/>
    <w:rsid w:val="00253C9E"/>
    <w:rsid w:val="00254791"/>
    <w:rsid w:val="0025543F"/>
    <w:rsid w:val="00261014"/>
    <w:rsid w:val="002705C9"/>
    <w:rsid w:val="00273704"/>
    <w:rsid w:val="00280E87"/>
    <w:rsid w:val="002844B6"/>
    <w:rsid w:val="002844D0"/>
    <w:rsid w:val="00285562"/>
    <w:rsid w:val="00286AAF"/>
    <w:rsid w:val="00290C6F"/>
    <w:rsid w:val="00290E3D"/>
    <w:rsid w:val="002913E5"/>
    <w:rsid w:val="00291FFE"/>
    <w:rsid w:val="00292770"/>
    <w:rsid w:val="00292B32"/>
    <w:rsid w:val="0029595C"/>
    <w:rsid w:val="00297DF8"/>
    <w:rsid w:val="002A1B5B"/>
    <w:rsid w:val="002A2264"/>
    <w:rsid w:val="002A23C5"/>
    <w:rsid w:val="002A28CE"/>
    <w:rsid w:val="002A4D17"/>
    <w:rsid w:val="002A6992"/>
    <w:rsid w:val="002A6A8E"/>
    <w:rsid w:val="002B1A7A"/>
    <w:rsid w:val="002B1C64"/>
    <w:rsid w:val="002B4F36"/>
    <w:rsid w:val="002B69A9"/>
    <w:rsid w:val="002B7893"/>
    <w:rsid w:val="002C1520"/>
    <w:rsid w:val="002C4A7B"/>
    <w:rsid w:val="002C522C"/>
    <w:rsid w:val="002D20FD"/>
    <w:rsid w:val="002D236D"/>
    <w:rsid w:val="002D3499"/>
    <w:rsid w:val="002D7494"/>
    <w:rsid w:val="002E460B"/>
    <w:rsid w:val="002E5401"/>
    <w:rsid w:val="002E65A5"/>
    <w:rsid w:val="002F150A"/>
    <w:rsid w:val="002F2657"/>
    <w:rsid w:val="002F314A"/>
    <w:rsid w:val="002F4401"/>
    <w:rsid w:val="002F52C5"/>
    <w:rsid w:val="002F786E"/>
    <w:rsid w:val="00300952"/>
    <w:rsid w:val="003044FC"/>
    <w:rsid w:val="00305779"/>
    <w:rsid w:val="0031087C"/>
    <w:rsid w:val="00315FBF"/>
    <w:rsid w:val="00316920"/>
    <w:rsid w:val="0032160E"/>
    <w:rsid w:val="0032293C"/>
    <w:rsid w:val="00323A66"/>
    <w:rsid w:val="00323DE2"/>
    <w:rsid w:val="0032403E"/>
    <w:rsid w:val="00324855"/>
    <w:rsid w:val="00326E8F"/>
    <w:rsid w:val="00332159"/>
    <w:rsid w:val="00334ABC"/>
    <w:rsid w:val="00341E2B"/>
    <w:rsid w:val="003423A9"/>
    <w:rsid w:val="00343199"/>
    <w:rsid w:val="0034541A"/>
    <w:rsid w:val="00345EEE"/>
    <w:rsid w:val="00346B09"/>
    <w:rsid w:val="00352576"/>
    <w:rsid w:val="00352B61"/>
    <w:rsid w:val="0035359C"/>
    <w:rsid w:val="00354845"/>
    <w:rsid w:val="00357634"/>
    <w:rsid w:val="00363364"/>
    <w:rsid w:val="00363943"/>
    <w:rsid w:val="0036433C"/>
    <w:rsid w:val="003644C3"/>
    <w:rsid w:val="00366490"/>
    <w:rsid w:val="00366F10"/>
    <w:rsid w:val="003672E3"/>
    <w:rsid w:val="00371AA6"/>
    <w:rsid w:val="0037246F"/>
    <w:rsid w:val="003729B0"/>
    <w:rsid w:val="003771B9"/>
    <w:rsid w:val="003819BF"/>
    <w:rsid w:val="003822D0"/>
    <w:rsid w:val="00385938"/>
    <w:rsid w:val="00390CD0"/>
    <w:rsid w:val="00392F30"/>
    <w:rsid w:val="00394B0A"/>
    <w:rsid w:val="003952A4"/>
    <w:rsid w:val="00396A28"/>
    <w:rsid w:val="00397D23"/>
    <w:rsid w:val="003A0B5C"/>
    <w:rsid w:val="003A1172"/>
    <w:rsid w:val="003A135E"/>
    <w:rsid w:val="003A1D0F"/>
    <w:rsid w:val="003A248E"/>
    <w:rsid w:val="003A4621"/>
    <w:rsid w:val="003A7586"/>
    <w:rsid w:val="003B13E4"/>
    <w:rsid w:val="003B30EB"/>
    <w:rsid w:val="003B3BFC"/>
    <w:rsid w:val="003B5A4E"/>
    <w:rsid w:val="003B77EA"/>
    <w:rsid w:val="003C1441"/>
    <w:rsid w:val="003C1E29"/>
    <w:rsid w:val="003C2750"/>
    <w:rsid w:val="003C2D45"/>
    <w:rsid w:val="003C3DEF"/>
    <w:rsid w:val="003C5368"/>
    <w:rsid w:val="003D250C"/>
    <w:rsid w:val="003D4720"/>
    <w:rsid w:val="003D4917"/>
    <w:rsid w:val="003D5AC2"/>
    <w:rsid w:val="003D67A9"/>
    <w:rsid w:val="003D6CE7"/>
    <w:rsid w:val="003E2D49"/>
    <w:rsid w:val="003E2F64"/>
    <w:rsid w:val="003E361B"/>
    <w:rsid w:val="003E55EB"/>
    <w:rsid w:val="003E5B40"/>
    <w:rsid w:val="003E75B2"/>
    <w:rsid w:val="003F0043"/>
    <w:rsid w:val="003F01F0"/>
    <w:rsid w:val="003F07E1"/>
    <w:rsid w:val="003F0E01"/>
    <w:rsid w:val="003F1947"/>
    <w:rsid w:val="003F274E"/>
    <w:rsid w:val="003F5085"/>
    <w:rsid w:val="003F7CCC"/>
    <w:rsid w:val="00403A10"/>
    <w:rsid w:val="00404A03"/>
    <w:rsid w:val="00405E7B"/>
    <w:rsid w:val="00410CF5"/>
    <w:rsid w:val="004123DC"/>
    <w:rsid w:val="004124A7"/>
    <w:rsid w:val="00415D8A"/>
    <w:rsid w:val="0042071A"/>
    <w:rsid w:val="00420819"/>
    <w:rsid w:val="0042297D"/>
    <w:rsid w:val="0042348D"/>
    <w:rsid w:val="00424242"/>
    <w:rsid w:val="00430206"/>
    <w:rsid w:val="0043490A"/>
    <w:rsid w:val="004407DB"/>
    <w:rsid w:val="00441BA3"/>
    <w:rsid w:val="00442970"/>
    <w:rsid w:val="004430AF"/>
    <w:rsid w:val="004443C8"/>
    <w:rsid w:val="00447CB6"/>
    <w:rsid w:val="004517E5"/>
    <w:rsid w:val="00451FF8"/>
    <w:rsid w:val="004535EE"/>
    <w:rsid w:val="00453756"/>
    <w:rsid w:val="00454B10"/>
    <w:rsid w:val="00456FF9"/>
    <w:rsid w:val="004617F3"/>
    <w:rsid w:val="004624B3"/>
    <w:rsid w:val="00463F1C"/>
    <w:rsid w:val="004659CF"/>
    <w:rsid w:val="00465C93"/>
    <w:rsid w:val="00470D0B"/>
    <w:rsid w:val="004761AA"/>
    <w:rsid w:val="004845C2"/>
    <w:rsid w:val="0049313F"/>
    <w:rsid w:val="00493F53"/>
    <w:rsid w:val="004961A5"/>
    <w:rsid w:val="00497463"/>
    <w:rsid w:val="004A04CC"/>
    <w:rsid w:val="004A419D"/>
    <w:rsid w:val="004A4FC5"/>
    <w:rsid w:val="004A628C"/>
    <w:rsid w:val="004A77E3"/>
    <w:rsid w:val="004A7CBB"/>
    <w:rsid w:val="004B1350"/>
    <w:rsid w:val="004B2A05"/>
    <w:rsid w:val="004B73A2"/>
    <w:rsid w:val="004C26B2"/>
    <w:rsid w:val="004C40BA"/>
    <w:rsid w:val="004C4172"/>
    <w:rsid w:val="004C43F1"/>
    <w:rsid w:val="004C5CAF"/>
    <w:rsid w:val="004C671C"/>
    <w:rsid w:val="004D24EF"/>
    <w:rsid w:val="004D2726"/>
    <w:rsid w:val="004D2FA1"/>
    <w:rsid w:val="004D3F58"/>
    <w:rsid w:val="004D6F40"/>
    <w:rsid w:val="004E1097"/>
    <w:rsid w:val="004E5CE0"/>
    <w:rsid w:val="004E6539"/>
    <w:rsid w:val="004F3169"/>
    <w:rsid w:val="004F31D7"/>
    <w:rsid w:val="004F48D0"/>
    <w:rsid w:val="004F6C65"/>
    <w:rsid w:val="004F755C"/>
    <w:rsid w:val="00500731"/>
    <w:rsid w:val="00501F98"/>
    <w:rsid w:val="00503EA1"/>
    <w:rsid w:val="0051321E"/>
    <w:rsid w:val="00515961"/>
    <w:rsid w:val="005161AA"/>
    <w:rsid w:val="00516B33"/>
    <w:rsid w:val="005179C6"/>
    <w:rsid w:val="00521237"/>
    <w:rsid w:val="0052656D"/>
    <w:rsid w:val="00526620"/>
    <w:rsid w:val="00527F95"/>
    <w:rsid w:val="00534245"/>
    <w:rsid w:val="0054213A"/>
    <w:rsid w:val="00543068"/>
    <w:rsid w:val="00544E4C"/>
    <w:rsid w:val="00545538"/>
    <w:rsid w:val="00546B41"/>
    <w:rsid w:val="00546D65"/>
    <w:rsid w:val="0054792D"/>
    <w:rsid w:val="00552200"/>
    <w:rsid w:val="00552D55"/>
    <w:rsid w:val="00553246"/>
    <w:rsid w:val="005538E6"/>
    <w:rsid w:val="00561471"/>
    <w:rsid w:val="00564784"/>
    <w:rsid w:val="0056786E"/>
    <w:rsid w:val="00573395"/>
    <w:rsid w:val="005736D0"/>
    <w:rsid w:val="00574AE9"/>
    <w:rsid w:val="00575417"/>
    <w:rsid w:val="0057595C"/>
    <w:rsid w:val="00581CE6"/>
    <w:rsid w:val="00587929"/>
    <w:rsid w:val="00591FE0"/>
    <w:rsid w:val="0059231F"/>
    <w:rsid w:val="005A0269"/>
    <w:rsid w:val="005A15BD"/>
    <w:rsid w:val="005A4A3E"/>
    <w:rsid w:val="005A4E34"/>
    <w:rsid w:val="005A7056"/>
    <w:rsid w:val="005A79C1"/>
    <w:rsid w:val="005B34FF"/>
    <w:rsid w:val="005B3866"/>
    <w:rsid w:val="005B3936"/>
    <w:rsid w:val="005B43C6"/>
    <w:rsid w:val="005C221F"/>
    <w:rsid w:val="005C526E"/>
    <w:rsid w:val="005C5D34"/>
    <w:rsid w:val="005D05D4"/>
    <w:rsid w:val="005D2EE5"/>
    <w:rsid w:val="005D390C"/>
    <w:rsid w:val="005D5B39"/>
    <w:rsid w:val="005D6388"/>
    <w:rsid w:val="005D7AAB"/>
    <w:rsid w:val="005E05E4"/>
    <w:rsid w:val="005E2A4B"/>
    <w:rsid w:val="005E52CF"/>
    <w:rsid w:val="005E52F8"/>
    <w:rsid w:val="005E6738"/>
    <w:rsid w:val="005F4043"/>
    <w:rsid w:val="005F4AFD"/>
    <w:rsid w:val="005F5253"/>
    <w:rsid w:val="006023D9"/>
    <w:rsid w:val="00602A0F"/>
    <w:rsid w:val="00602ABB"/>
    <w:rsid w:val="00603B3B"/>
    <w:rsid w:val="00604ED2"/>
    <w:rsid w:val="00606710"/>
    <w:rsid w:val="00606D7C"/>
    <w:rsid w:val="006131BC"/>
    <w:rsid w:val="00613317"/>
    <w:rsid w:val="00614748"/>
    <w:rsid w:val="0061690B"/>
    <w:rsid w:val="00621BF2"/>
    <w:rsid w:val="006242D7"/>
    <w:rsid w:val="00624ECD"/>
    <w:rsid w:val="00630E25"/>
    <w:rsid w:val="00633E7D"/>
    <w:rsid w:val="006361DC"/>
    <w:rsid w:val="0063797A"/>
    <w:rsid w:val="0064081A"/>
    <w:rsid w:val="00642257"/>
    <w:rsid w:val="00643FC7"/>
    <w:rsid w:val="006441AE"/>
    <w:rsid w:val="0064543C"/>
    <w:rsid w:val="00645557"/>
    <w:rsid w:val="00646162"/>
    <w:rsid w:val="00646366"/>
    <w:rsid w:val="00650E37"/>
    <w:rsid w:val="006515AC"/>
    <w:rsid w:val="00651B52"/>
    <w:rsid w:val="00657045"/>
    <w:rsid w:val="00662701"/>
    <w:rsid w:val="00664BD4"/>
    <w:rsid w:val="006657E7"/>
    <w:rsid w:val="00667DE4"/>
    <w:rsid w:val="006707A9"/>
    <w:rsid w:val="00670B3A"/>
    <w:rsid w:val="006731B4"/>
    <w:rsid w:val="00677597"/>
    <w:rsid w:val="006806EF"/>
    <w:rsid w:val="00682259"/>
    <w:rsid w:val="0068385C"/>
    <w:rsid w:val="00686F3B"/>
    <w:rsid w:val="00691502"/>
    <w:rsid w:val="00693A72"/>
    <w:rsid w:val="00694753"/>
    <w:rsid w:val="00694B88"/>
    <w:rsid w:val="00697144"/>
    <w:rsid w:val="006A4F0C"/>
    <w:rsid w:val="006B784E"/>
    <w:rsid w:val="006B78F7"/>
    <w:rsid w:val="006B7E4E"/>
    <w:rsid w:val="006B7F42"/>
    <w:rsid w:val="006C0919"/>
    <w:rsid w:val="006C395D"/>
    <w:rsid w:val="006C5907"/>
    <w:rsid w:val="006C5B93"/>
    <w:rsid w:val="006C7529"/>
    <w:rsid w:val="006D0873"/>
    <w:rsid w:val="006D1A75"/>
    <w:rsid w:val="006D4C1F"/>
    <w:rsid w:val="006D721F"/>
    <w:rsid w:val="006D7F43"/>
    <w:rsid w:val="006E0631"/>
    <w:rsid w:val="006E0A81"/>
    <w:rsid w:val="006E0BD4"/>
    <w:rsid w:val="006E6213"/>
    <w:rsid w:val="006F0DDA"/>
    <w:rsid w:val="006F47E4"/>
    <w:rsid w:val="006F695E"/>
    <w:rsid w:val="006F77DA"/>
    <w:rsid w:val="00700123"/>
    <w:rsid w:val="00703CAD"/>
    <w:rsid w:val="0071204E"/>
    <w:rsid w:val="007124D8"/>
    <w:rsid w:val="00712522"/>
    <w:rsid w:val="0071475B"/>
    <w:rsid w:val="00714FE1"/>
    <w:rsid w:val="007208A1"/>
    <w:rsid w:val="00722AC5"/>
    <w:rsid w:val="00727386"/>
    <w:rsid w:val="007308E1"/>
    <w:rsid w:val="00735A13"/>
    <w:rsid w:val="0073633D"/>
    <w:rsid w:val="00740BFB"/>
    <w:rsid w:val="00743BEA"/>
    <w:rsid w:val="00745402"/>
    <w:rsid w:val="00750BE8"/>
    <w:rsid w:val="00750E6D"/>
    <w:rsid w:val="00750F96"/>
    <w:rsid w:val="00751821"/>
    <w:rsid w:val="0075306F"/>
    <w:rsid w:val="00753148"/>
    <w:rsid w:val="00753586"/>
    <w:rsid w:val="00755403"/>
    <w:rsid w:val="00760069"/>
    <w:rsid w:val="00760C9C"/>
    <w:rsid w:val="00762D85"/>
    <w:rsid w:val="0076338B"/>
    <w:rsid w:val="0077034C"/>
    <w:rsid w:val="00772B25"/>
    <w:rsid w:val="00774E68"/>
    <w:rsid w:val="00775538"/>
    <w:rsid w:val="007766FF"/>
    <w:rsid w:val="007815DD"/>
    <w:rsid w:val="00783B95"/>
    <w:rsid w:val="007849C0"/>
    <w:rsid w:val="00786BC3"/>
    <w:rsid w:val="007914BF"/>
    <w:rsid w:val="00792005"/>
    <w:rsid w:val="007955C1"/>
    <w:rsid w:val="007965D6"/>
    <w:rsid w:val="007A0AC6"/>
    <w:rsid w:val="007A31E2"/>
    <w:rsid w:val="007A7DD7"/>
    <w:rsid w:val="007B1111"/>
    <w:rsid w:val="007B200E"/>
    <w:rsid w:val="007B6F0E"/>
    <w:rsid w:val="007B7432"/>
    <w:rsid w:val="007B77C2"/>
    <w:rsid w:val="007D251E"/>
    <w:rsid w:val="007D75A6"/>
    <w:rsid w:val="007E0B52"/>
    <w:rsid w:val="007E24E5"/>
    <w:rsid w:val="007E3657"/>
    <w:rsid w:val="007E45DA"/>
    <w:rsid w:val="007F0789"/>
    <w:rsid w:val="007F19EC"/>
    <w:rsid w:val="007F1FAA"/>
    <w:rsid w:val="007F22FE"/>
    <w:rsid w:val="0080364A"/>
    <w:rsid w:val="00803C76"/>
    <w:rsid w:val="0080501B"/>
    <w:rsid w:val="008059E8"/>
    <w:rsid w:val="00806354"/>
    <w:rsid w:val="00810216"/>
    <w:rsid w:val="0081460E"/>
    <w:rsid w:val="00817B11"/>
    <w:rsid w:val="00821A45"/>
    <w:rsid w:val="00823121"/>
    <w:rsid w:val="0082514C"/>
    <w:rsid w:val="00825AD8"/>
    <w:rsid w:val="00825D39"/>
    <w:rsid w:val="00830619"/>
    <w:rsid w:val="0083492C"/>
    <w:rsid w:val="00835CB1"/>
    <w:rsid w:val="008378AE"/>
    <w:rsid w:val="00841BED"/>
    <w:rsid w:val="00846D58"/>
    <w:rsid w:val="00851DAA"/>
    <w:rsid w:val="008571A1"/>
    <w:rsid w:val="00863AD5"/>
    <w:rsid w:val="00863E9A"/>
    <w:rsid w:val="00866908"/>
    <w:rsid w:val="00867128"/>
    <w:rsid w:val="0086722C"/>
    <w:rsid w:val="008701E4"/>
    <w:rsid w:val="008707B6"/>
    <w:rsid w:val="00870812"/>
    <w:rsid w:val="00871CCA"/>
    <w:rsid w:val="00872B78"/>
    <w:rsid w:val="00880A51"/>
    <w:rsid w:val="00880BB6"/>
    <w:rsid w:val="008814FB"/>
    <w:rsid w:val="00886BCF"/>
    <w:rsid w:val="008871CE"/>
    <w:rsid w:val="0089179F"/>
    <w:rsid w:val="0089239E"/>
    <w:rsid w:val="00894BA2"/>
    <w:rsid w:val="00896D11"/>
    <w:rsid w:val="00897B75"/>
    <w:rsid w:val="008A1276"/>
    <w:rsid w:val="008A1857"/>
    <w:rsid w:val="008A445C"/>
    <w:rsid w:val="008B30C0"/>
    <w:rsid w:val="008B3689"/>
    <w:rsid w:val="008B5781"/>
    <w:rsid w:val="008B645B"/>
    <w:rsid w:val="008C22BE"/>
    <w:rsid w:val="008C2841"/>
    <w:rsid w:val="008D2636"/>
    <w:rsid w:val="008D46DF"/>
    <w:rsid w:val="008E1A98"/>
    <w:rsid w:val="008E77F9"/>
    <w:rsid w:val="008E7BDF"/>
    <w:rsid w:val="00900E08"/>
    <w:rsid w:val="00903A40"/>
    <w:rsid w:val="0090753F"/>
    <w:rsid w:val="00907BC4"/>
    <w:rsid w:val="00912C0C"/>
    <w:rsid w:val="00912C11"/>
    <w:rsid w:val="00913406"/>
    <w:rsid w:val="00916D78"/>
    <w:rsid w:val="0092008D"/>
    <w:rsid w:val="00920294"/>
    <w:rsid w:val="00920587"/>
    <w:rsid w:val="00922043"/>
    <w:rsid w:val="00922B72"/>
    <w:rsid w:val="00922E04"/>
    <w:rsid w:val="0092378C"/>
    <w:rsid w:val="00926283"/>
    <w:rsid w:val="00927646"/>
    <w:rsid w:val="0093461E"/>
    <w:rsid w:val="00934FE5"/>
    <w:rsid w:val="00936BF8"/>
    <w:rsid w:val="00937845"/>
    <w:rsid w:val="0094069F"/>
    <w:rsid w:val="00941247"/>
    <w:rsid w:val="009420FC"/>
    <w:rsid w:val="009460E6"/>
    <w:rsid w:val="00952B0C"/>
    <w:rsid w:val="00952BE5"/>
    <w:rsid w:val="00962066"/>
    <w:rsid w:val="00963073"/>
    <w:rsid w:val="009664DD"/>
    <w:rsid w:val="0097008F"/>
    <w:rsid w:val="00970B63"/>
    <w:rsid w:val="00971491"/>
    <w:rsid w:val="0097179A"/>
    <w:rsid w:val="009734E5"/>
    <w:rsid w:val="00973653"/>
    <w:rsid w:val="00974894"/>
    <w:rsid w:val="00981D56"/>
    <w:rsid w:val="00992076"/>
    <w:rsid w:val="00993339"/>
    <w:rsid w:val="009A1D6C"/>
    <w:rsid w:val="009A242D"/>
    <w:rsid w:val="009A2CC5"/>
    <w:rsid w:val="009A7C51"/>
    <w:rsid w:val="009B378F"/>
    <w:rsid w:val="009B54CF"/>
    <w:rsid w:val="009B552D"/>
    <w:rsid w:val="009C1076"/>
    <w:rsid w:val="009C435B"/>
    <w:rsid w:val="009C47A8"/>
    <w:rsid w:val="009C5F3C"/>
    <w:rsid w:val="009C6D06"/>
    <w:rsid w:val="009D1728"/>
    <w:rsid w:val="009D36A7"/>
    <w:rsid w:val="009D522F"/>
    <w:rsid w:val="009E1A91"/>
    <w:rsid w:val="009F0B81"/>
    <w:rsid w:val="009F60AB"/>
    <w:rsid w:val="009F6A6D"/>
    <w:rsid w:val="00A00B9D"/>
    <w:rsid w:val="00A0216E"/>
    <w:rsid w:val="00A02980"/>
    <w:rsid w:val="00A060C2"/>
    <w:rsid w:val="00A06E31"/>
    <w:rsid w:val="00A073B3"/>
    <w:rsid w:val="00A14F5F"/>
    <w:rsid w:val="00A16A25"/>
    <w:rsid w:val="00A17C1D"/>
    <w:rsid w:val="00A21669"/>
    <w:rsid w:val="00A24B8E"/>
    <w:rsid w:val="00A25C2A"/>
    <w:rsid w:val="00A26392"/>
    <w:rsid w:val="00A265BB"/>
    <w:rsid w:val="00A31264"/>
    <w:rsid w:val="00A31486"/>
    <w:rsid w:val="00A32822"/>
    <w:rsid w:val="00A36E3F"/>
    <w:rsid w:val="00A4051B"/>
    <w:rsid w:val="00A4215F"/>
    <w:rsid w:val="00A44B15"/>
    <w:rsid w:val="00A45540"/>
    <w:rsid w:val="00A505B1"/>
    <w:rsid w:val="00A519FB"/>
    <w:rsid w:val="00A538B9"/>
    <w:rsid w:val="00A53CEF"/>
    <w:rsid w:val="00A57102"/>
    <w:rsid w:val="00A6189F"/>
    <w:rsid w:val="00A62512"/>
    <w:rsid w:val="00A62629"/>
    <w:rsid w:val="00A64479"/>
    <w:rsid w:val="00A67BEF"/>
    <w:rsid w:val="00A71D2A"/>
    <w:rsid w:val="00A77DE3"/>
    <w:rsid w:val="00A8045B"/>
    <w:rsid w:val="00A83D37"/>
    <w:rsid w:val="00A869C0"/>
    <w:rsid w:val="00A8736B"/>
    <w:rsid w:val="00A87875"/>
    <w:rsid w:val="00A9030A"/>
    <w:rsid w:val="00A95AC6"/>
    <w:rsid w:val="00AA0A2C"/>
    <w:rsid w:val="00AA1C9F"/>
    <w:rsid w:val="00AA2425"/>
    <w:rsid w:val="00AA3768"/>
    <w:rsid w:val="00AA4452"/>
    <w:rsid w:val="00AA589F"/>
    <w:rsid w:val="00AA60A4"/>
    <w:rsid w:val="00AB17EF"/>
    <w:rsid w:val="00AB187C"/>
    <w:rsid w:val="00AB3923"/>
    <w:rsid w:val="00AB6358"/>
    <w:rsid w:val="00AC0462"/>
    <w:rsid w:val="00AC0914"/>
    <w:rsid w:val="00AC4270"/>
    <w:rsid w:val="00AC542B"/>
    <w:rsid w:val="00AD5936"/>
    <w:rsid w:val="00AD7D74"/>
    <w:rsid w:val="00AE27AE"/>
    <w:rsid w:val="00AE50B5"/>
    <w:rsid w:val="00AE711A"/>
    <w:rsid w:val="00AF08B9"/>
    <w:rsid w:val="00AF2C56"/>
    <w:rsid w:val="00AF359E"/>
    <w:rsid w:val="00AF6D3E"/>
    <w:rsid w:val="00AF7026"/>
    <w:rsid w:val="00B023EA"/>
    <w:rsid w:val="00B073C1"/>
    <w:rsid w:val="00B14339"/>
    <w:rsid w:val="00B14C2F"/>
    <w:rsid w:val="00B177E1"/>
    <w:rsid w:val="00B27492"/>
    <w:rsid w:val="00B31C5A"/>
    <w:rsid w:val="00B34641"/>
    <w:rsid w:val="00B349FE"/>
    <w:rsid w:val="00B4156F"/>
    <w:rsid w:val="00B45826"/>
    <w:rsid w:val="00B45D30"/>
    <w:rsid w:val="00B47776"/>
    <w:rsid w:val="00B52CD0"/>
    <w:rsid w:val="00B5570A"/>
    <w:rsid w:val="00B609CC"/>
    <w:rsid w:val="00B677FE"/>
    <w:rsid w:val="00B67BF2"/>
    <w:rsid w:val="00B67D8F"/>
    <w:rsid w:val="00B72AF0"/>
    <w:rsid w:val="00B746EB"/>
    <w:rsid w:val="00B76049"/>
    <w:rsid w:val="00B773E5"/>
    <w:rsid w:val="00B8265D"/>
    <w:rsid w:val="00B83343"/>
    <w:rsid w:val="00B863FE"/>
    <w:rsid w:val="00B86D8B"/>
    <w:rsid w:val="00B8766B"/>
    <w:rsid w:val="00B91668"/>
    <w:rsid w:val="00B91C97"/>
    <w:rsid w:val="00B92976"/>
    <w:rsid w:val="00B93FF0"/>
    <w:rsid w:val="00B9403D"/>
    <w:rsid w:val="00B95B8B"/>
    <w:rsid w:val="00BA1CA4"/>
    <w:rsid w:val="00BA4E5F"/>
    <w:rsid w:val="00BA4E62"/>
    <w:rsid w:val="00BA5186"/>
    <w:rsid w:val="00BB3816"/>
    <w:rsid w:val="00BC3188"/>
    <w:rsid w:val="00BC3197"/>
    <w:rsid w:val="00BD0A80"/>
    <w:rsid w:val="00BD2DD8"/>
    <w:rsid w:val="00BD3B91"/>
    <w:rsid w:val="00BD7ED9"/>
    <w:rsid w:val="00BE1EE6"/>
    <w:rsid w:val="00BE493D"/>
    <w:rsid w:val="00BE6FF3"/>
    <w:rsid w:val="00BF0E24"/>
    <w:rsid w:val="00BF2DEF"/>
    <w:rsid w:val="00BF6BA8"/>
    <w:rsid w:val="00BF73E6"/>
    <w:rsid w:val="00C01B91"/>
    <w:rsid w:val="00C01CAF"/>
    <w:rsid w:val="00C02116"/>
    <w:rsid w:val="00C041CB"/>
    <w:rsid w:val="00C0519A"/>
    <w:rsid w:val="00C144A3"/>
    <w:rsid w:val="00C16991"/>
    <w:rsid w:val="00C16DDB"/>
    <w:rsid w:val="00C177AD"/>
    <w:rsid w:val="00C205FA"/>
    <w:rsid w:val="00C211F4"/>
    <w:rsid w:val="00C218EF"/>
    <w:rsid w:val="00C22EC6"/>
    <w:rsid w:val="00C30C61"/>
    <w:rsid w:val="00C31015"/>
    <w:rsid w:val="00C323A7"/>
    <w:rsid w:val="00C36FA2"/>
    <w:rsid w:val="00C47D83"/>
    <w:rsid w:val="00C53009"/>
    <w:rsid w:val="00C54BB4"/>
    <w:rsid w:val="00C622C8"/>
    <w:rsid w:val="00C635D2"/>
    <w:rsid w:val="00C66E81"/>
    <w:rsid w:val="00C67E89"/>
    <w:rsid w:val="00C72A3C"/>
    <w:rsid w:val="00C73808"/>
    <w:rsid w:val="00C73A0F"/>
    <w:rsid w:val="00C74C72"/>
    <w:rsid w:val="00C7720F"/>
    <w:rsid w:val="00C774F1"/>
    <w:rsid w:val="00C80225"/>
    <w:rsid w:val="00C80AA0"/>
    <w:rsid w:val="00C90A93"/>
    <w:rsid w:val="00C91CBD"/>
    <w:rsid w:val="00C92A3D"/>
    <w:rsid w:val="00C93B30"/>
    <w:rsid w:val="00C9573A"/>
    <w:rsid w:val="00C95D22"/>
    <w:rsid w:val="00C96B67"/>
    <w:rsid w:val="00C97D3E"/>
    <w:rsid w:val="00CA1D56"/>
    <w:rsid w:val="00CA46B4"/>
    <w:rsid w:val="00CA5845"/>
    <w:rsid w:val="00CB0177"/>
    <w:rsid w:val="00CB1F58"/>
    <w:rsid w:val="00CB40C7"/>
    <w:rsid w:val="00CB521D"/>
    <w:rsid w:val="00CB625F"/>
    <w:rsid w:val="00CC0BAF"/>
    <w:rsid w:val="00CC204B"/>
    <w:rsid w:val="00CC329E"/>
    <w:rsid w:val="00CD09E8"/>
    <w:rsid w:val="00CD1652"/>
    <w:rsid w:val="00CD2A78"/>
    <w:rsid w:val="00CD6A32"/>
    <w:rsid w:val="00CE051C"/>
    <w:rsid w:val="00CE1257"/>
    <w:rsid w:val="00CE1681"/>
    <w:rsid w:val="00CE2E5C"/>
    <w:rsid w:val="00CE4498"/>
    <w:rsid w:val="00CE4859"/>
    <w:rsid w:val="00CE7641"/>
    <w:rsid w:val="00CF0981"/>
    <w:rsid w:val="00CF3485"/>
    <w:rsid w:val="00CF65D6"/>
    <w:rsid w:val="00D011A8"/>
    <w:rsid w:val="00D014FA"/>
    <w:rsid w:val="00D01ACF"/>
    <w:rsid w:val="00D03B44"/>
    <w:rsid w:val="00D0758D"/>
    <w:rsid w:val="00D13A2A"/>
    <w:rsid w:val="00D15F1D"/>
    <w:rsid w:val="00D224A9"/>
    <w:rsid w:val="00D24854"/>
    <w:rsid w:val="00D3055F"/>
    <w:rsid w:val="00D30A85"/>
    <w:rsid w:val="00D4075A"/>
    <w:rsid w:val="00D40B38"/>
    <w:rsid w:val="00D4513F"/>
    <w:rsid w:val="00D45E48"/>
    <w:rsid w:val="00D47C97"/>
    <w:rsid w:val="00D508C7"/>
    <w:rsid w:val="00D50BE8"/>
    <w:rsid w:val="00D53B6B"/>
    <w:rsid w:val="00D571C0"/>
    <w:rsid w:val="00D630C7"/>
    <w:rsid w:val="00D64192"/>
    <w:rsid w:val="00D64F7F"/>
    <w:rsid w:val="00D702AE"/>
    <w:rsid w:val="00D70DCF"/>
    <w:rsid w:val="00D7791D"/>
    <w:rsid w:val="00D802A5"/>
    <w:rsid w:val="00D80A6F"/>
    <w:rsid w:val="00D8158C"/>
    <w:rsid w:val="00D838CF"/>
    <w:rsid w:val="00D84BA7"/>
    <w:rsid w:val="00D865DF"/>
    <w:rsid w:val="00D8799E"/>
    <w:rsid w:val="00D91821"/>
    <w:rsid w:val="00D931F2"/>
    <w:rsid w:val="00D965C1"/>
    <w:rsid w:val="00D97499"/>
    <w:rsid w:val="00DA07B1"/>
    <w:rsid w:val="00DA1863"/>
    <w:rsid w:val="00DA38C8"/>
    <w:rsid w:val="00DA405B"/>
    <w:rsid w:val="00DA739E"/>
    <w:rsid w:val="00DB0AEA"/>
    <w:rsid w:val="00DB6911"/>
    <w:rsid w:val="00DB6CEF"/>
    <w:rsid w:val="00DB7D51"/>
    <w:rsid w:val="00DC6FC2"/>
    <w:rsid w:val="00DC7333"/>
    <w:rsid w:val="00DD43EC"/>
    <w:rsid w:val="00DE2994"/>
    <w:rsid w:val="00DE447C"/>
    <w:rsid w:val="00DE65DD"/>
    <w:rsid w:val="00DF0CCC"/>
    <w:rsid w:val="00DF1827"/>
    <w:rsid w:val="00DF509E"/>
    <w:rsid w:val="00E00249"/>
    <w:rsid w:val="00E0622D"/>
    <w:rsid w:val="00E068B1"/>
    <w:rsid w:val="00E1051C"/>
    <w:rsid w:val="00E14B75"/>
    <w:rsid w:val="00E160DC"/>
    <w:rsid w:val="00E16506"/>
    <w:rsid w:val="00E20436"/>
    <w:rsid w:val="00E223A8"/>
    <w:rsid w:val="00E23BA8"/>
    <w:rsid w:val="00E24AAF"/>
    <w:rsid w:val="00E27EEA"/>
    <w:rsid w:val="00E31788"/>
    <w:rsid w:val="00E32D26"/>
    <w:rsid w:val="00E33C62"/>
    <w:rsid w:val="00E33DE7"/>
    <w:rsid w:val="00E343EF"/>
    <w:rsid w:val="00E37978"/>
    <w:rsid w:val="00E40B69"/>
    <w:rsid w:val="00E449F9"/>
    <w:rsid w:val="00E46C10"/>
    <w:rsid w:val="00E50190"/>
    <w:rsid w:val="00E50ADE"/>
    <w:rsid w:val="00E52662"/>
    <w:rsid w:val="00E562FF"/>
    <w:rsid w:val="00E5704A"/>
    <w:rsid w:val="00E57EF7"/>
    <w:rsid w:val="00E616D3"/>
    <w:rsid w:val="00E63940"/>
    <w:rsid w:val="00E71A2D"/>
    <w:rsid w:val="00E71FAE"/>
    <w:rsid w:val="00E72C41"/>
    <w:rsid w:val="00E77C9D"/>
    <w:rsid w:val="00E80216"/>
    <w:rsid w:val="00E8083E"/>
    <w:rsid w:val="00E8104C"/>
    <w:rsid w:val="00E857C5"/>
    <w:rsid w:val="00E87653"/>
    <w:rsid w:val="00E90834"/>
    <w:rsid w:val="00E90AE7"/>
    <w:rsid w:val="00E9385E"/>
    <w:rsid w:val="00E9768E"/>
    <w:rsid w:val="00EA0641"/>
    <w:rsid w:val="00EA35A1"/>
    <w:rsid w:val="00EA5853"/>
    <w:rsid w:val="00EA5BF0"/>
    <w:rsid w:val="00EB3363"/>
    <w:rsid w:val="00EB6182"/>
    <w:rsid w:val="00EB7802"/>
    <w:rsid w:val="00EB7A1C"/>
    <w:rsid w:val="00EC2152"/>
    <w:rsid w:val="00EC46D9"/>
    <w:rsid w:val="00EC5121"/>
    <w:rsid w:val="00EC666D"/>
    <w:rsid w:val="00EC7A1C"/>
    <w:rsid w:val="00ED0410"/>
    <w:rsid w:val="00ED23B1"/>
    <w:rsid w:val="00ED3DD3"/>
    <w:rsid w:val="00EE147F"/>
    <w:rsid w:val="00EE2287"/>
    <w:rsid w:val="00EE79C9"/>
    <w:rsid w:val="00EE7B21"/>
    <w:rsid w:val="00EF5451"/>
    <w:rsid w:val="00EF5CCF"/>
    <w:rsid w:val="00EF68EB"/>
    <w:rsid w:val="00EF7EB5"/>
    <w:rsid w:val="00F00F1F"/>
    <w:rsid w:val="00F04556"/>
    <w:rsid w:val="00F04A24"/>
    <w:rsid w:val="00F07448"/>
    <w:rsid w:val="00F12CB7"/>
    <w:rsid w:val="00F1379F"/>
    <w:rsid w:val="00F15679"/>
    <w:rsid w:val="00F15EF3"/>
    <w:rsid w:val="00F17175"/>
    <w:rsid w:val="00F21F27"/>
    <w:rsid w:val="00F242D5"/>
    <w:rsid w:val="00F25373"/>
    <w:rsid w:val="00F31811"/>
    <w:rsid w:val="00F36706"/>
    <w:rsid w:val="00F375F1"/>
    <w:rsid w:val="00F4049B"/>
    <w:rsid w:val="00F40604"/>
    <w:rsid w:val="00F42BFC"/>
    <w:rsid w:val="00F464A7"/>
    <w:rsid w:val="00F512AE"/>
    <w:rsid w:val="00F52004"/>
    <w:rsid w:val="00F53108"/>
    <w:rsid w:val="00F5474A"/>
    <w:rsid w:val="00F55357"/>
    <w:rsid w:val="00F55E03"/>
    <w:rsid w:val="00F56734"/>
    <w:rsid w:val="00F60EDF"/>
    <w:rsid w:val="00F63B4E"/>
    <w:rsid w:val="00F64B10"/>
    <w:rsid w:val="00F66091"/>
    <w:rsid w:val="00F7520C"/>
    <w:rsid w:val="00F75724"/>
    <w:rsid w:val="00F77249"/>
    <w:rsid w:val="00F77978"/>
    <w:rsid w:val="00F81500"/>
    <w:rsid w:val="00F815ED"/>
    <w:rsid w:val="00F8194F"/>
    <w:rsid w:val="00F828D9"/>
    <w:rsid w:val="00F828EC"/>
    <w:rsid w:val="00F82DA9"/>
    <w:rsid w:val="00F85A74"/>
    <w:rsid w:val="00F87477"/>
    <w:rsid w:val="00F94B63"/>
    <w:rsid w:val="00FA26D2"/>
    <w:rsid w:val="00FA362C"/>
    <w:rsid w:val="00FA4FE3"/>
    <w:rsid w:val="00FA52F1"/>
    <w:rsid w:val="00FA7DF2"/>
    <w:rsid w:val="00FB5427"/>
    <w:rsid w:val="00FB54DE"/>
    <w:rsid w:val="00FC141F"/>
    <w:rsid w:val="00FC282A"/>
    <w:rsid w:val="00FC2C4E"/>
    <w:rsid w:val="00FC2F9F"/>
    <w:rsid w:val="00FC3B65"/>
    <w:rsid w:val="00FC6D1D"/>
    <w:rsid w:val="00FD0CC4"/>
    <w:rsid w:val="00FD203E"/>
    <w:rsid w:val="00FD7584"/>
    <w:rsid w:val="00FD7DF4"/>
    <w:rsid w:val="00FD7FAC"/>
    <w:rsid w:val="00FE07A9"/>
    <w:rsid w:val="00FE44CB"/>
    <w:rsid w:val="00FE6E92"/>
    <w:rsid w:val="00FF2176"/>
    <w:rsid w:val="00FF2838"/>
    <w:rsid w:val="00FF3F52"/>
    <w:rsid w:val="00FF436A"/>
    <w:rsid w:val="00FF49C7"/>
    <w:rsid w:val="00FF65E7"/>
    <w:rsid w:val="00FF6700"/>
    <w:rsid w:val="00FF71AC"/>
    <w:rsid w:val="0D0EDECB"/>
    <w:rsid w:val="0F7B764F"/>
    <w:rsid w:val="1C2DD235"/>
    <w:rsid w:val="2053E040"/>
    <w:rsid w:val="36EFAFC7"/>
    <w:rsid w:val="39756537"/>
    <w:rsid w:val="4A7F4BF4"/>
    <w:rsid w:val="649FD160"/>
    <w:rsid w:val="702F199A"/>
    <w:rsid w:val="70E3F427"/>
    <w:rsid w:val="76D0CE4B"/>
    <w:rsid w:val="787AB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6FF3F"/>
  <w15:docId w15:val="{8E389170-EA3A-47D5-A06A-AE4316B0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57"/>
    <w:rPr>
      <w:rFonts w:ascii="Arial" w:hAnsi="Arial"/>
    </w:rPr>
  </w:style>
  <w:style w:type="paragraph" w:styleId="Heading1">
    <w:name w:val="heading 1"/>
    <w:basedOn w:val="Normal"/>
    <w:next w:val="Normal"/>
    <w:link w:val="Heading1Char"/>
    <w:uiPriority w:val="9"/>
    <w:qFormat/>
    <w:rsid w:val="005179C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5557"/>
    <w:pPr>
      <w:keepNext/>
      <w:keepLines/>
      <w:spacing w:before="80" w:after="0"/>
      <w:outlineLvl w:val="1"/>
    </w:pPr>
    <w:rPr>
      <w:rFonts w:eastAsiaTheme="majorEastAsia" w:cstheme="majorBidi"/>
      <w:bCs/>
      <w:color w:val="4F81BD" w:themeColor="accent1"/>
      <w:sz w:val="28"/>
      <w:szCs w:val="26"/>
    </w:rPr>
  </w:style>
  <w:style w:type="paragraph" w:styleId="Heading3">
    <w:name w:val="heading 3"/>
    <w:basedOn w:val="Normal"/>
    <w:next w:val="Normal"/>
    <w:link w:val="Heading3Char"/>
    <w:uiPriority w:val="9"/>
    <w:unhideWhenUsed/>
    <w:qFormat/>
    <w:rsid w:val="00645557"/>
    <w:pPr>
      <w:keepNext/>
      <w:keepLines/>
      <w:spacing w:before="200" w:after="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79C6"/>
    <w:rPr>
      <w:rFonts w:ascii="Arial" w:eastAsiaTheme="majorEastAsia" w:hAnsi="Arial" w:cstheme="majorBidi"/>
      <w:b/>
      <w:bCs/>
      <w:color w:val="365F91" w:themeColor="accent1" w:themeShade="BF"/>
      <w:sz w:val="28"/>
      <w:szCs w:val="28"/>
    </w:rPr>
  </w:style>
  <w:style w:type="paragraph" w:styleId="TOCHeading">
    <w:name w:val="TOC Heading"/>
    <w:basedOn w:val="Heading1"/>
    <w:next w:val="Normal"/>
    <w:uiPriority w:val="39"/>
    <w:unhideWhenUsed/>
    <w:qFormat/>
    <w:rsid w:val="007F1FAA"/>
    <w:pPr>
      <w:outlineLvl w:val="9"/>
    </w:pPr>
    <w:rPr>
      <w:lang w:val="en-US" w:eastAsia="ja-JP"/>
    </w:rPr>
  </w:style>
  <w:style w:type="paragraph" w:styleId="TOC2">
    <w:name w:val="toc 2"/>
    <w:basedOn w:val="Normal"/>
    <w:next w:val="Normal"/>
    <w:autoRedefine/>
    <w:uiPriority w:val="39"/>
    <w:unhideWhenUsed/>
    <w:qFormat/>
    <w:rsid w:val="00F55357"/>
    <w:pPr>
      <w:tabs>
        <w:tab w:val="right" w:leader="dot" w:pos="9465"/>
      </w:tabs>
      <w:spacing w:after="100"/>
    </w:pPr>
  </w:style>
  <w:style w:type="character" w:styleId="Hyperlink">
    <w:name w:val="Hyperlink"/>
    <w:basedOn w:val="DefaultParagraphFont"/>
    <w:uiPriority w:val="99"/>
    <w:unhideWhenUsed/>
    <w:rsid w:val="007F1FAA"/>
    <w:rPr>
      <w:color w:val="0000FF" w:themeColor="hyperlink"/>
      <w:u w:val="single"/>
    </w:rPr>
  </w:style>
  <w:style w:type="paragraph" w:styleId="BalloonText">
    <w:name w:val="Balloon Text"/>
    <w:basedOn w:val="Normal"/>
    <w:link w:val="BalloonTextChar"/>
    <w:uiPriority w:val="99"/>
    <w:semiHidden/>
    <w:unhideWhenUsed/>
    <w:rsid w:val="007F1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FAA"/>
    <w:rPr>
      <w:rFonts w:ascii="Tahoma" w:hAnsi="Tahoma" w:cs="Tahoma"/>
      <w:sz w:val="16"/>
      <w:szCs w:val="16"/>
    </w:rPr>
  </w:style>
  <w:style w:type="paragraph" w:styleId="NoSpacing">
    <w:name w:val="No Spacing"/>
    <w:uiPriority w:val="1"/>
    <w:qFormat/>
    <w:rsid w:val="002E65A5"/>
    <w:pPr>
      <w:spacing w:after="0" w:line="240" w:lineRule="auto"/>
    </w:pPr>
  </w:style>
  <w:style w:type="paragraph" w:styleId="TOC1">
    <w:name w:val="toc 1"/>
    <w:basedOn w:val="Normal"/>
    <w:next w:val="Normal"/>
    <w:autoRedefine/>
    <w:uiPriority w:val="39"/>
    <w:unhideWhenUsed/>
    <w:qFormat/>
    <w:rsid w:val="00664BD4"/>
    <w:pPr>
      <w:tabs>
        <w:tab w:val="right" w:leader="dot" w:pos="9016"/>
      </w:tabs>
      <w:spacing w:after="100"/>
    </w:pPr>
  </w:style>
  <w:style w:type="character" w:customStyle="1" w:styleId="Heading2Char">
    <w:name w:val="Heading 2 Char"/>
    <w:basedOn w:val="DefaultParagraphFont"/>
    <w:link w:val="Heading2"/>
    <w:uiPriority w:val="9"/>
    <w:rsid w:val="00645557"/>
    <w:rPr>
      <w:rFonts w:ascii="Arial" w:eastAsiaTheme="majorEastAsia" w:hAnsi="Arial" w:cstheme="majorBidi"/>
      <w:bCs/>
      <w:color w:val="4F81BD" w:themeColor="accent1"/>
      <w:sz w:val="28"/>
      <w:szCs w:val="26"/>
    </w:rPr>
  </w:style>
  <w:style w:type="paragraph" w:styleId="TOC3">
    <w:name w:val="toc 3"/>
    <w:basedOn w:val="Normal"/>
    <w:next w:val="Normal"/>
    <w:autoRedefine/>
    <w:uiPriority w:val="39"/>
    <w:unhideWhenUsed/>
    <w:qFormat/>
    <w:rsid w:val="0083492C"/>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sid w:val="00645557"/>
    <w:rPr>
      <w:rFonts w:ascii="Arial" w:eastAsiaTheme="majorEastAsia" w:hAnsi="Arial" w:cstheme="majorBidi"/>
      <w:bCs/>
      <w:color w:val="4F81BD" w:themeColor="accent1"/>
    </w:rPr>
  </w:style>
  <w:style w:type="paragraph" w:styleId="Header">
    <w:name w:val="header"/>
    <w:basedOn w:val="Normal"/>
    <w:link w:val="HeaderChar"/>
    <w:uiPriority w:val="99"/>
    <w:unhideWhenUsed/>
    <w:rsid w:val="00B31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C5A"/>
  </w:style>
  <w:style w:type="paragraph" w:styleId="Footer">
    <w:name w:val="footer"/>
    <w:basedOn w:val="Normal"/>
    <w:link w:val="FooterChar"/>
    <w:uiPriority w:val="99"/>
    <w:unhideWhenUsed/>
    <w:rsid w:val="00B31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C5A"/>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1204E"/>
    <w:pPr>
      <w:ind w:left="720"/>
      <w:contextualSpacing/>
    </w:pPr>
  </w:style>
  <w:style w:type="paragraph" w:styleId="PlainText">
    <w:name w:val="Plain Text"/>
    <w:basedOn w:val="Normal"/>
    <w:link w:val="PlainTextChar"/>
    <w:uiPriority w:val="99"/>
    <w:semiHidden/>
    <w:unhideWhenUsed/>
    <w:rsid w:val="00A06E31"/>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A06E31"/>
    <w:rPr>
      <w:rFonts w:ascii="Calibri" w:eastAsiaTheme="minorEastAsia" w:hAnsi="Calibri" w:cs="Times New Roman"/>
      <w:szCs w:val="21"/>
      <w:lang w:eastAsia="en-GB"/>
    </w:rPr>
  </w:style>
  <w:style w:type="character" w:styleId="CommentReference">
    <w:name w:val="annotation reference"/>
    <w:basedOn w:val="DefaultParagraphFont"/>
    <w:uiPriority w:val="99"/>
    <w:semiHidden/>
    <w:unhideWhenUsed/>
    <w:rsid w:val="0064543C"/>
    <w:rPr>
      <w:sz w:val="16"/>
      <w:szCs w:val="16"/>
    </w:rPr>
  </w:style>
  <w:style w:type="paragraph" w:styleId="CommentText">
    <w:name w:val="annotation text"/>
    <w:basedOn w:val="Normal"/>
    <w:link w:val="CommentTextChar"/>
    <w:uiPriority w:val="99"/>
    <w:unhideWhenUsed/>
    <w:rsid w:val="0064543C"/>
    <w:pPr>
      <w:spacing w:after="0" w:line="240" w:lineRule="auto"/>
    </w:pPr>
    <w:rPr>
      <w:sz w:val="20"/>
      <w:szCs w:val="20"/>
    </w:rPr>
  </w:style>
  <w:style w:type="character" w:customStyle="1" w:styleId="CommentTextChar">
    <w:name w:val="Comment Text Char"/>
    <w:basedOn w:val="DefaultParagraphFont"/>
    <w:link w:val="CommentText"/>
    <w:uiPriority w:val="99"/>
    <w:rsid w:val="0064543C"/>
    <w:rPr>
      <w:sz w:val="20"/>
      <w:szCs w:val="20"/>
    </w:rPr>
  </w:style>
  <w:style w:type="character" w:styleId="FollowedHyperlink">
    <w:name w:val="FollowedHyperlink"/>
    <w:basedOn w:val="DefaultParagraphFont"/>
    <w:uiPriority w:val="99"/>
    <w:semiHidden/>
    <w:unhideWhenUsed/>
    <w:rsid w:val="00CD2A78"/>
    <w:rPr>
      <w:color w:val="800080" w:themeColor="followedHyperlink"/>
      <w:u w:val="single"/>
    </w:rPr>
  </w:style>
  <w:style w:type="character" w:styleId="UnresolvedMention">
    <w:name w:val="Unresolved Mention"/>
    <w:basedOn w:val="DefaultParagraphFont"/>
    <w:uiPriority w:val="99"/>
    <w:semiHidden/>
    <w:unhideWhenUsed/>
    <w:rsid w:val="0013037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7494"/>
    <w:pPr>
      <w:spacing w:after="200"/>
    </w:pPr>
    <w:rPr>
      <w:b/>
      <w:bCs/>
    </w:rPr>
  </w:style>
  <w:style w:type="character" w:customStyle="1" w:styleId="CommentSubjectChar">
    <w:name w:val="Comment Subject Char"/>
    <w:basedOn w:val="CommentTextChar"/>
    <w:link w:val="CommentSubject"/>
    <w:uiPriority w:val="99"/>
    <w:semiHidden/>
    <w:rsid w:val="002D7494"/>
    <w:rPr>
      <w:b/>
      <w:bCs/>
      <w:sz w:val="20"/>
      <w:szCs w:val="20"/>
    </w:rPr>
  </w:style>
  <w:style w:type="paragraph" w:styleId="NormalWeb">
    <w:name w:val="Normal (Web)"/>
    <w:basedOn w:val="Normal"/>
    <w:uiPriority w:val="99"/>
    <w:semiHidden/>
    <w:unhideWhenUsed/>
    <w:rsid w:val="00AE50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35A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A13"/>
  </w:style>
  <w:style w:type="character" w:customStyle="1" w:styleId="eop">
    <w:name w:val="eop"/>
    <w:basedOn w:val="DefaultParagraphFont"/>
    <w:rsid w:val="00735A13"/>
  </w:style>
  <w:style w:type="paragraph" w:customStyle="1" w:styleId="Default">
    <w:name w:val="Default"/>
    <w:rsid w:val="0091340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43068"/>
    <w:pPr>
      <w:spacing w:after="0" w:line="240" w:lineRule="auto"/>
    </w:pPr>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0410DF"/>
    <w:rPr>
      <w:rFonts w:ascii="Arial" w:hAnsi="Arial"/>
    </w:rPr>
  </w:style>
  <w:style w:type="paragraph" w:customStyle="1" w:styleId="Pa2">
    <w:name w:val="Pa2"/>
    <w:basedOn w:val="Default"/>
    <w:next w:val="Default"/>
    <w:uiPriority w:val="99"/>
    <w:rsid w:val="00B863FE"/>
    <w:pPr>
      <w:spacing w:line="221" w:lineRule="atLeast"/>
    </w:pPr>
    <w:rPr>
      <w:rFonts w:ascii="Frutiger CE 45 Light" w:hAnsi="Frutiger CE 45 Light" w:cstheme="minorBidi"/>
      <w:color w:val="auto"/>
    </w:rPr>
  </w:style>
  <w:style w:type="paragraph" w:customStyle="1" w:styleId="Pa5">
    <w:name w:val="Pa5"/>
    <w:basedOn w:val="Default"/>
    <w:next w:val="Default"/>
    <w:uiPriority w:val="99"/>
    <w:rsid w:val="00B863FE"/>
    <w:pPr>
      <w:spacing w:line="221" w:lineRule="atLeast"/>
    </w:pPr>
    <w:rPr>
      <w:rFonts w:ascii="Frutiger CE 45 Light" w:hAnsi="Frutiger CE 45 Light" w:cstheme="minorBidi"/>
      <w:color w:val="auto"/>
    </w:rPr>
  </w:style>
  <w:style w:type="character" w:customStyle="1" w:styleId="A5">
    <w:name w:val="A5"/>
    <w:uiPriority w:val="99"/>
    <w:rsid w:val="00B863FE"/>
    <w:rPr>
      <w:rFonts w:ascii="Gotham Black" w:hAnsi="Gotham Black" w:cs="Gotham Black"/>
      <w:color w:val="000000"/>
      <w:sz w:val="22"/>
      <w:szCs w:val="22"/>
    </w:rPr>
  </w:style>
  <w:style w:type="paragraph" w:styleId="BodyText">
    <w:name w:val="Body Text"/>
    <w:basedOn w:val="Normal"/>
    <w:link w:val="BodyTextChar"/>
    <w:semiHidden/>
    <w:rsid w:val="001A3449"/>
    <w:pPr>
      <w:spacing w:after="0" w:line="240" w:lineRule="auto"/>
      <w:jc w:val="both"/>
    </w:pPr>
    <w:rPr>
      <w:rFonts w:ascii="Tahoma" w:eastAsia="Times New Roman" w:hAnsi="Tahoma" w:cs="Tahoma"/>
      <w:sz w:val="24"/>
      <w:szCs w:val="24"/>
      <w:lang w:eastAsia="en-GB"/>
    </w:rPr>
  </w:style>
  <w:style w:type="character" w:customStyle="1" w:styleId="BodyTextChar">
    <w:name w:val="Body Text Char"/>
    <w:basedOn w:val="DefaultParagraphFont"/>
    <w:link w:val="BodyText"/>
    <w:semiHidden/>
    <w:rsid w:val="001A3449"/>
    <w:rPr>
      <w:rFonts w:ascii="Tahoma" w:eastAsia="Times New Roman" w:hAnsi="Tahoma" w:cs="Tahoma"/>
      <w:sz w:val="24"/>
      <w:szCs w:val="24"/>
      <w:lang w:eastAsia="en-GB"/>
    </w:rPr>
  </w:style>
  <w:style w:type="paragraph" w:styleId="FootnoteText">
    <w:name w:val="footnote text"/>
    <w:basedOn w:val="Normal"/>
    <w:link w:val="FootnoteTextChar"/>
    <w:uiPriority w:val="99"/>
    <w:semiHidden/>
    <w:unhideWhenUsed/>
    <w:rsid w:val="00EB33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363"/>
    <w:rPr>
      <w:rFonts w:ascii="Arial" w:hAnsi="Arial"/>
      <w:sz w:val="20"/>
      <w:szCs w:val="20"/>
    </w:rPr>
  </w:style>
  <w:style w:type="character" w:styleId="FootnoteReference">
    <w:name w:val="footnote reference"/>
    <w:basedOn w:val="DefaultParagraphFont"/>
    <w:uiPriority w:val="99"/>
    <w:semiHidden/>
    <w:unhideWhenUsed/>
    <w:rsid w:val="00EB3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74574">
      <w:bodyDiv w:val="1"/>
      <w:marLeft w:val="0"/>
      <w:marRight w:val="0"/>
      <w:marTop w:val="0"/>
      <w:marBottom w:val="0"/>
      <w:divBdr>
        <w:top w:val="none" w:sz="0" w:space="0" w:color="auto"/>
        <w:left w:val="none" w:sz="0" w:space="0" w:color="auto"/>
        <w:bottom w:val="none" w:sz="0" w:space="0" w:color="auto"/>
        <w:right w:val="none" w:sz="0" w:space="0" w:color="auto"/>
      </w:divBdr>
    </w:div>
    <w:div w:id="351037359">
      <w:bodyDiv w:val="1"/>
      <w:marLeft w:val="0"/>
      <w:marRight w:val="0"/>
      <w:marTop w:val="0"/>
      <w:marBottom w:val="0"/>
      <w:divBdr>
        <w:top w:val="none" w:sz="0" w:space="0" w:color="auto"/>
        <w:left w:val="none" w:sz="0" w:space="0" w:color="auto"/>
        <w:bottom w:val="none" w:sz="0" w:space="0" w:color="auto"/>
        <w:right w:val="none" w:sz="0" w:space="0" w:color="auto"/>
      </w:divBdr>
    </w:div>
    <w:div w:id="409935313">
      <w:bodyDiv w:val="1"/>
      <w:marLeft w:val="0"/>
      <w:marRight w:val="0"/>
      <w:marTop w:val="0"/>
      <w:marBottom w:val="0"/>
      <w:divBdr>
        <w:top w:val="none" w:sz="0" w:space="0" w:color="auto"/>
        <w:left w:val="none" w:sz="0" w:space="0" w:color="auto"/>
        <w:bottom w:val="none" w:sz="0" w:space="0" w:color="auto"/>
        <w:right w:val="none" w:sz="0" w:space="0" w:color="auto"/>
      </w:divBdr>
    </w:div>
    <w:div w:id="518347741">
      <w:bodyDiv w:val="1"/>
      <w:marLeft w:val="0"/>
      <w:marRight w:val="0"/>
      <w:marTop w:val="0"/>
      <w:marBottom w:val="0"/>
      <w:divBdr>
        <w:top w:val="none" w:sz="0" w:space="0" w:color="auto"/>
        <w:left w:val="none" w:sz="0" w:space="0" w:color="auto"/>
        <w:bottom w:val="none" w:sz="0" w:space="0" w:color="auto"/>
        <w:right w:val="none" w:sz="0" w:space="0" w:color="auto"/>
      </w:divBdr>
    </w:div>
    <w:div w:id="577138323">
      <w:bodyDiv w:val="1"/>
      <w:marLeft w:val="0"/>
      <w:marRight w:val="0"/>
      <w:marTop w:val="0"/>
      <w:marBottom w:val="0"/>
      <w:divBdr>
        <w:top w:val="none" w:sz="0" w:space="0" w:color="auto"/>
        <w:left w:val="none" w:sz="0" w:space="0" w:color="auto"/>
        <w:bottom w:val="none" w:sz="0" w:space="0" w:color="auto"/>
        <w:right w:val="none" w:sz="0" w:space="0" w:color="auto"/>
      </w:divBdr>
    </w:div>
    <w:div w:id="658310550">
      <w:bodyDiv w:val="1"/>
      <w:marLeft w:val="0"/>
      <w:marRight w:val="0"/>
      <w:marTop w:val="0"/>
      <w:marBottom w:val="0"/>
      <w:divBdr>
        <w:top w:val="none" w:sz="0" w:space="0" w:color="auto"/>
        <w:left w:val="none" w:sz="0" w:space="0" w:color="auto"/>
        <w:bottom w:val="none" w:sz="0" w:space="0" w:color="auto"/>
        <w:right w:val="none" w:sz="0" w:space="0" w:color="auto"/>
      </w:divBdr>
    </w:div>
    <w:div w:id="1029331503">
      <w:bodyDiv w:val="1"/>
      <w:marLeft w:val="0"/>
      <w:marRight w:val="0"/>
      <w:marTop w:val="0"/>
      <w:marBottom w:val="0"/>
      <w:divBdr>
        <w:top w:val="none" w:sz="0" w:space="0" w:color="auto"/>
        <w:left w:val="none" w:sz="0" w:space="0" w:color="auto"/>
        <w:bottom w:val="none" w:sz="0" w:space="0" w:color="auto"/>
        <w:right w:val="none" w:sz="0" w:space="0" w:color="auto"/>
      </w:divBdr>
    </w:div>
    <w:div w:id="1740861438">
      <w:bodyDiv w:val="1"/>
      <w:marLeft w:val="0"/>
      <w:marRight w:val="0"/>
      <w:marTop w:val="0"/>
      <w:marBottom w:val="0"/>
      <w:divBdr>
        <w:top w:val="none" w:sz="0" w:space="0" w:color="auto"/>
        <w:left w:val="none" w:sz="0" w:space="0" w:color="auto"/>
        <w:bottom w:val="none" w:sz="0" w:space="0" w:color="auto"/>
        <w:right w:val="none" w:sz="0" w:space="0" w:color="auto"/>
      </w:divBdr>
    </w:div>
    <w:div w:id="1938948411">
      <w:bodyDiv w:val="1"/>
      <w:marLeft w:val="0"/>
      <w:marRight w:val="0"/>
      <w:marTop w:val="0"/>
      <w:marBottom w:val="0"/>
      <w:divBdr>
        <w:top w:val="none" w:sz="0" w:space="0" w:color="auto"/>
        <w:left w:val="none" w:sz="0" w:space="0" w:color="auto"/>
        <w:bottom w:val="none" w:sz="0" w:space="0" w:color="auto"/>
        <w:right w:val="none" w:sz="0" w:space="0" w:color="auto"/>
      </w:divBdr>
      <w:divsChild>
        <w:div w:id="553780781">
          <w:marLeft w:val="0"/>
          <w:marRight w:val="0"/>
          <w:marTop w:val="0"/>
          <w:marBottom w:val="0"/>
          <w:divBdr>
            <w:top w:val="none" w:sz="0" w:space="0" w:color="auto"/>
            <w:left w:val="none" w:sz="0" w:space="0" w:color="auto"/>
            <w:bottom w:val="none" w:sz="0" w:space="0" w:color="auto"/>
            <w:right w:val="none" w:sz="0" w:space="0" w:color="auto"/>
          </w:divBdr>
        </w:div>
        <w:div w:id="1156800439">
          <w:marLeft w:val="0"/>
          <w:marRight w:val="0"/>
          <w:marTop w:val="0"/>
          <w:marBottom w:val="0"/>
          <w:divBdr>
            <w:top w:val="none" w:sz="0" w:space="0" w:color="auto"/>
            <w:left w:val="none" w:sz="0" w:space="0" w:color="auto"/>
            <w:bottom w:val="none" w:sz="0" w:space="0" w:color="auto"/>
            <w:right w:val="none" w:sz="0" w:space="0" w:color="auto"/>
          </w:divBdr>
        </w:div>
      </w:divsChild>
    </w:div>
    <w:div w:id="21103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8272ff-30e2-44e5-bc00-e42a8654cac1">
      <Terms xmlns="http://schemas.microsoft.com/office/infopath/2007/PartnerControls"/>
    </lcf76f155ced4ddcb4097134ff3c332f>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FAC06ADD7EA74395EB9E853C7AFA71" ma:contentTypeVersion="19" ma:contentTypeDescription="Create a new document." ma:contentTypeScope="" ma:versionID="deedae2f03c4dd2222cc19dd187d088e">
  <xsd:schema xmlns:xsd="http://www.w3.org/2001/XMLSchema" xmlns:xs="http://www.w3.org/2001/XMLSchema" xmlns:p="http://schemas.microsoft.com/office/2006/metadata/properties" xmlns:ns2="768272ff-30e2-44e5-bc00-e42a8654cac1" xmlns:ns3="cccaf3ac-2de9-44d4-aa31-54302fceb5f7" targetNamespace="http://schemas.microsoft.com/office/2006/metadata/properties" ma:root="true" ma:fieldsID="d3042bae77416b548e92cb0761bc0245" ns2:_="" ns3:_="">
    <xsd:import namespace="768272ff-30e2-44e5-bc00-e42a8654cac1"/>
    <xsd:import namespace="cccaf3ac-2de9-44d4-aa31-54302fceb5f7"/>
    <xsd:element name="properties">
      <xsd:complexType>
        <xsd:sequence>
          <xsd:element name="documentManagement">
            <xsd:complexType>
              <xsd:all>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272ff-30e2-44e5-bc00-e42a8654ca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A4F14-8B12-403B-BDAD-335EE1B3DEB3}">
  <ds:schemaRefs>
    <ds:schemaRef ds:uri="http://schemas.openxmlformats.org/officeDocument/2006/bibliography"/>
  </ds:schemaRefs>
</ds:datastoreItem>
</file>

<file path=customXml/itemProps2.xml><?xml version="1.0" encoding="utf-8"?>
<ds:datastoreItem xmlns:ds="http://schemas.openxmlformats.org/officeDocument/2006/customXml" ds:itemID="{C633ECCC-9F90-4910-8AC8-E7A552795F33}">
  <ds:schemaRefs>
    <ds:schemaRef ds:uri="http://schemas.microsoft.com/sharepoint/v3/contenttype/forms"/>
  </ds:schemaRefs>
</ds:datastoreItem>
</file>

<file path=customXml/itemProps3.xml><?xml version="1.0" encoding="utf-8"?>
<ds:datastoreItem xmlns:ds="http://schemas.openxmlformats.org/officeDocument/2006/customXml" ds:itemID="{CC37483B-605E-4E68-9034-3CCA05E12A25}">
  <ds:schemaRefs>
    <ds:schemaRef ds:uri="http://schemas.microsoft.com/office/2006/metadata/properties"/>
    <ds:schemaRef ds:uri="http://schemas.microsoft.com/office/infopath/2007/PartnerControls"/>
    <ds:schemaRef ds:uri="768272ff-30e2-44e5-bc00-e42a8654cac1"/>
    <ds:schemaRef ds:uri="cccaf3ac-2de9-44d4-aa31-54302fceb5f7"/>
  </ds:schemaRefs>
</ds:datastoreItem>
</file>

<file path=customXml/itemProps4.xml><?xml version="1.0" encoding="utf-8"?>
<ds:datastoreItem xmlns:ds="http://schemas.openxmlformats.org/officeDocument/2006/customXml" ds:itemID="{B05650F9-7A1E-4D49-B3E1-D30D2FB11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272ff-30e2-44e5-bc00-e42a8654cac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forsyth</dc:creator>
  <cp:keywords/>
  <cp:lastModifiedBy>Sarah Walton</cp:lastModifiedBy>
  <cp:revision>18</cp:revision>
  <dcterms:created xsi:type="dcterms:W3CDTF">2024-02-20T09:18:00Z</dcterms:created>
  <dcterms:modified xsi:type="dcterms:W3CDTF">2024-02-20T09:32:00Z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0x010100E6FAC06ADD7EA74395EB9E853C7AFA71</vt:lpwstr>
  </property>
  <property fmtid="{D5CDD505-2E9C-101B-9397-08002B2CF9AE}" pid="3" name="MediaServiceImageTags">
    <vt:lpwstr/>
  </property>
</Properties>
</file>