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11"/>
        <w:tblW w:w="5007" w:type="pct"/>
        <w:tblCellSpacing w:w="42" w:type="dxa"/>
        <w:tblLayout w:type="fixed"/>
        <w:tblCellMar>
          <w:left w:w="0" w:type="dxa"/>
          <w:right w:w="0" w:type="dxa"/>
        </w:tblCellMar>
        <w:tblLook w:val="0600" w:firstRow="0" w:lastRow="0" w:firstColumn="0" w:lastColumn="0" w:noHBand="1" w:noVBand="1"/>
        <w:tblDescription w:val="Layout table"/>
      </w:tblPr>
      <w:tblGrid>
        <w:gridCol w:w="6853"/>
        <w:gridCol w:w="4254"/>
      </w:tblGrid>
      <w:tr w:rsidR="00EF71FC" w:rsidRPr="00FE0AEA" w14:paraId="170EADA6" w14:textId="77777777" w:rsidTr="00D261CB">
        <w:trPr>
          <w:trHeight w:val="13636"/>
          <w:tblCellSpacing w:w="42" w:type="dxa"/>
        </w:trPr>
        <w:tc>
          <w:tcPr>
            <w:tcW w:w="6537" w:type="dxa"/>
            <w:tcMar>
              <w:left w:w="115" w:type="dxa"/>
              <w:right w:w="288" w:type="dxa"/>
            </w:tcMar>
          </w:tcPr>
          <w:p w14:paraId="6D6DFB1B" w14:textId="73850835" w:rsidR="00EF71FC" w:rsidRPr="0001670C" w:rsidRDefault="00EF71FC" w:rsidP="00EF71FC">
            <w:pPr>
              <w:pStyle w:val="Title"/>
              <w:rPr>
                <w:sz w:val="36"/>
              </w:rPr>
            </w:pPr>
            <w:r>
              <w:rPr>
                <w:sz w:val="36"/>
              </w:rPr>
              <w:t xml:space="preserve">CYPDAS NEWSLETTER </w:t>
            </w:r>
            <w:r w:rsidR="00126AA5">
              <w:rPr>
                <w:sz w:val="36"/>
              </w:rPr>
              <w:t>25/09/20</w:t>
            </w:r>
          </w:p>
          <w:p w14:paraId="2F47297B" w14:textId="77777777" w:rsidR="00EF71FC" w:rsidRDefault="00EF71FC" w:rsidP="00EF71FC"/>
          <w:p w14:paraId="580F1219" w14:textId="77777777" w:rsidR="00EF71FC" w:rsidRPr="00494700" w:rsidRDefault="00EF71FC" w:rsidP="00EF71FC">
            <w:pPr>
              <w:spacing w:afterLines="150" w:after="360"/>
              <w:ind w:left="-57"/>
              <w:rPr>
                <w:b/>
                <w:color w:val="7A8C8E" w:themeColor="accent4"/>
              </w:rPr>
            </w:pPr>
            <w:r w:rsidRPr="00494700">
              <w:rPr>
                <w:b/>
                <w:color w:val="7A8C8E" w:themeColor="accent4"/>
              </w:rPr>
              <w:t xml:space="preserve">Compass CYPDAS will now be sharing a newsletter every two weeks, providing service updates, </w:t>
            </w:r>
            <w:r>
              <w:rPr>
                <w:b/>
                <w:color w:val="7A8C8E" w:themeColor="accent4"/>
              </w:rPr>
              <w:t xml:space="preserve">contact details, </w:t>
            </w:r>
            <w:r w:rsidRPr="00494700">
              <w:rPr>
                <w:b/>
                <w:color w:val="7A8C8E" w:themeColor="accent4"/>
              </w:rPr>
              <w:t>and a feature piece on different substances to raise awareness amongst children and young people.</w:t>
            </w:r>
          </w:p>
          <w:p w14:paraId="55362EAF" w14:textId="77777777" w:rsidR="00EF71FC" w:rsidRPr="00FE0AEA" w:rsidRDefault="00EF71FC" w:rsidP="00EF71FC">
            <w:pPr>
              <w:spacing w:afterLines="150" w:after="360"/>
              <w:ind w:left="-57"/>
            </w:pPr>
          </w:p>
          <w:p w14:paraId="1AA9D51B" w14:textId="77777777" w:rsidR="00EF71FC" w:rsidRPr="0001670C" w:rsidRDefault="00EF71FC" w:rsidP="00EF71FC">
            <w:pPr>
              <w:spacing w:after="100"/>
              <w:ind w:left="-57"/>
              <w:contextualSpacing w:val="0"/>
              <w:rPr>
                <w:b/>
              </w:rPr>
            </w:pPr>
            <w:r>
              <w:rPr>
                <w:b/>
              </w:rPr>
              <w:t>ABOUT US</w:t>
            </w:r>
          </w:p>
          <w:p w14:paraId="00612502" w14:textId="77777777" w:rsidR="00EF71FC" w:rsidRDefault="00EF71FC" w:rsidP="00EF71FC">
            <w:pPr>
              <w:ind w:left="-57"/>
            </w:pPr>
            <w:r w:rsidRPr="0001670C">
              <w:t xml:space="preserve">We provide support for </w:t>
            </w:r>
            <w:r>
              <w:t xml:space="preserve">Warwickshire </w:t>
            </w:r>
            <w:r w:rsidRPr="0001670C">
              <w:t xml:space="preserve">children and young people </w:t>
            </w:r>
            <w:r>
              <w:t>under</w:t>
            </w:r>
            <w:r w:rsidRPr="0001670C">
              <w:t xml:space="preserve"> 25 who are vulnerable to substance use or have been affected by another’s substance use. </w:t>
            </w:r>
            <w:r>
              <w:t>The service is free and confidential.</w:t>
            </w:r>
          </w:p>
          <w:p w14:paraId="29D57A0C" w14:textId="77777777" w:rsidR="00EF71FC" w:rsidRPr="0001670C" w:rsidRDefault="00EF71FC" w:rsidP="00EF71FC">
            <w:pPr>
              <w:ind w:left="-57"/>
              <w:rPr>
                <w:sz w:val="28"/>
              </w:rPr>
            </w:pPr>
          </w:p>
          <w:p w14:paraId="7DB7DA4D" w14:textId="77777777" w:rsidR="00EF71FC" w:rsidRDefault="00EF71FC" w:rsidP="00EF71FC">
            <w:pPr>
              <w:spacing w:after="100"/>
              <w:ind w:left="-57"/>
              <w:contextualSpacing w:val="0"/>
            </w:pPr>
            <w:r>
              <w:rPr>
                <w:b/>
              </w:rPr>
              <w:t>ADAPTED SERVICES DURING</w:t>
            </w:r>
            <w:r w:rsidRPr="00AE220B">
              <w:rPr>
                <w:b/>
              </w:rPr>
              <w:t xml:space="preserve"> </w:t>
            </w:r>
            <w:r>
              <w:rPr>
                <w:b/>
              </w:rPr>
              <w:t>COVID</w:t>
            </w:r>
            <w:r w:rsidRPr="00AE220B">
              <w:rPr>
                <w:b/>
              </w:rPr>
              <w:t>-19</w:t>
            </w:r>
          </w:p>
          <w:p w14:paraId="1557A1E4" w14:textId="5D4EC470" w:rsidR="000E4DD8" w:rsidRDefault="000E4DD8" w:rsidP="000E4DD8">
            <w:pPr>
              <w:ind w:left="-57"/>
              <w:contextualSpacing w:val="0"/>
            </w:pPr>
            <w:r>
              <w:rPr>
                <w:b/>
                <w:noProof/>
                <w:color w:val="3494BA" w:themeColor="accent2"/>
                <w:lang w:val="en-GB" w:eastAsia="en-GB"/>
              </w:rPr>
              <mc:AlternateContent>
                <mc:Choice Requires="wps">
                  <w:drawing>
                    <wp:anchor distT="0" distB="0" distL="114300" distR="114300" simplePos="0" relativeHeight="251660288" behindDoc="0" locked="0" layoutInCell="1" allowOverlap="1" wp14:anchorId="0E7A8AFD" wp14:editId="3FA8AEFC">
                      <wp:simplePos x="0" y="0"/>
                      <wp:positionH relativeFrom="column">
                        <wp:posOffset>-43815</wp:posOffset>
                      </wp:positionH>
                      <wp:positionV relativeFrom="paragraph">
                        <wp:posOffset>1073150</wp:posOffset>
                      </wp:positionV>
                      <wp:extent cx="4029075" cy="1428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029075" cy="1428750"/>
                              </a:xfrm>
                              <a:prstGeom prst="rect">
                                <a:avLst/>
                              </a:prstGeom>
                              <a:noFill/>
                              <a:ln w="19050">
                                <a:solidFill>
                                  <a:schemeClr val="accent5"/>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1D62079" w14:textId="0B1E8A85" w:rsidR="00D261CB" w:rsidRDefault="00D261CB" w:rsidP="008E6A22">
                                  <w:pPr>
                                    <w:jc w:val="center"/>
                                    <w:rPr>
                                      <w:lang w:val="en-GB"/>
                                    </w:rPr>
                                  </w:pPr>
                                  <w:r w:rsidRPr="00D261CB">
                                    <w:rPr>
                                      <w:b/>
                                      <w:bCs/>
                                      <w:lang w:val="en-GB"/>
                                    </w:rPr>
                                    <w:t>Staying safe</w:t>
                                  </w:r>
                                  <w:r>
                                    <w:rPr>
                                      <w:lang w:val="en-GB"/>
                                    </w:rPr>
                                    <w:t>:</w:t>
                                  </w:r>
                                </w:p>
                                <w:p w14:paraId="2DB4C7B1" w14:textId="6FF8517E" w:rsidR="00D261CB" w:rsidRDefault="00D261CB" w:rsidP="008E6A22">
                                  <w:pPr>
                                    <w:jc w:val="center"/>
                                    <w:rPr>
                                      <w:lang w:val="en-GB"/>
                                    </w:rPr>
                                  </w:pPr>
                                  <w:r>
                                    <w:rPr>
                                      <w:lang w:val="en-GB"/>
                                    </w:rPr>
                                    <w:t>Do</w:t>
                                  </w:r>
                                  <w:r w:rsidR="000E4DD8">
                                    <w:rPr>
                                      <w:lang w:val="en-GB"/>
                                    </w:rPr>
                                    <w:t xml:space="preserve"> no</w:t>
                                  </w:r>
                                  <w:r>
                                    <w:rPr>
                                      <w:lang w:val="en-GB"/>
                                    </w:rPr>
                                    <w:t>t use continuously</w:t>
                                  </w:r>
                                </w:p>
                                <w:p w14:paraId="3E4D803D" w14:textId="480DCAAE" w:rsidR="00D261CB" w:rsidRDefault="00D261CB" w:rsidP="008E6A22">
                                  <w:pPr>
                                    <w:jc w:val="center"/>
                                    <w:rPr>
                                      <w:lang w:val="en-GB"/>
                                    </w:rPr>
                                  </w:pPr>
                                  <w:r>
                                    <w:rPr>
                                      <w:lang w:val="en-GB"/>
                                    </w:rPr>
                                    <w:t>Do</w:t>
                                  </w:r>
                                  <w:r w:rsidR="000E4DD8">
                                    <w:rPr>
                                      <w:lang w:val="en-GB"/>
                                    </w:rPr>
                                    <w:t xml:space="preserve"> no</w:t>
                                  </w:r>
                                  <w:r>
                                    <w:rPr>
                                      <w:lang w:val="en-GB"/>
                                    </w:rPr>
                                    <w:t>t mix with other drugs or alcohol</w:t>
                                  </w:r>
                                </w:p>
                                <w:p w14:paraId="24A2E9ED" w14:textId="13EAAD5E" w:rsidR="00D261CB" w:rsidRDefault="00D261CB" w:rsidP="008E6A22">
                                  <w:pPr>
                                    <w:jc w:val="center"/>
                                    <w:rPr>
                                      <w:lang w:val="en-GB"/>
                                    </w:rPr>
                                  </w:pPr>
                                  <w:r>
                                    <w:rPr>
                                      <w:lang w:val="en-GB"/>
                                    </w:rPr>
                                    <w:t>Do</w:t>
                                  </w:r>
                                  <w:r w:rsidR="000E4DD8">
                                    <w:rPr>
                                      <w:lang w:val="en-GB"/>
                                    </w:rPr>
                                    <w:t xml:space="preserve"> no</w:t>
                                  </w:r>
                                  <w:r>
                                    <w:rPr>
                                      <w:lang w:val="en-GB"/>
                                    </w:rPr>
                                    <w:t>t inject</w:t>
                                  </w:r>
                                </w:p>
                                <w:p w14:paraId="201F6651" w14:textId="1C972A4A" w:rsidR="00D261CB" w:rsidRDefault="00D261CB" w:rsidP="008E6A22">
                                  <w:pPr>
                                    <w:jc w:val="center"/>
                                    <w:rPr>
                                      <w:lang w:val="en-GB"/>
                                    </w:rPr>
                                  </w:pPr>
                                  <w:r>
                                    <w:rPr>
                                      <w:lang w:val="en-GB"/>
                                    </w:rPr>
                                    <w:t>Do</w:t>
                                  </w:r>
                                  <w:r w:rsidR="000E4DD8">
                                    <w:rPr>
                                      <w:lang w:val="en-GB"/>
                                    </w:rPr>
                                    <w:t xml:space="preserve"> no</w:t>
                                  </w:r>
                                  <w:r>
                                    <w:rPr>
                                      <w:lang w:val="en-GB"/>
                                    </w:rPr>
                                    <w:t>t withdraw suddenly if using extensively</w:t>
                                  </w:r>
                                </w:p>
                                <w:p w14:paraId="6A1F9205" w14:textId="41704DA3" w:rsidR="00D261CB" w:rsidRDefault="00D261CB" w:rsidP="008E6A22">
                                  <w:pPr>
                                    <w:jc w:val="center"/>
                                    <w:rPr>
                                      <w:lang w:val="en-GB"/>
                                    </w:rPr>
                                  </w:pPr>
                                  <w:r>
                                    <w:rPr>
                                      <w:lang w:val="en-GB"/>
                                    </w:rPr>
                                    <w:t>Do</w:t>
                                  </w:r>
                                  <w:r w:rsidR="000E4DD8">
                                    <w:rPr>
                                      <w:lang w:val="en-GB"/>
                                    </w:rPr>
                                    <w:t xml:space="preserve"> no</w:t>
                                  </w:r>
                                  <w:r>
                                    <w:rPr>
                                      <w:lang w:val="en-GB"/>
                                    </w:rPr>
                                    <w:t>t drive or operate machinery</w:t>
                                  </w:r>
                                </w:p>
                                <w:p w14:paraId="52C9ABC7" w14:textId="64EA56AB" w:rsidR="00D261CB" w:rsidRPr="00D261CB" w:rsidRDefault="00D261CB" w:rsidP="008E6A22">
                                  <w:pPr>
                                    <w:jc w:val="center"/>
                                    <w:rPr>
                                      <w:lang w:val="en-GB"/>
                                    </w:rPr>
                                  </w:pPr>
                                  <w:r>
                                    <w:rPr>
                                      <w:lang w:val="en-GB"/>
                                    </w:rPr>
                                    <w:t>Be aware there are fakes.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8AFD" id="Rectangle 5" o:spid="_x0000_s1026" style="position:absolute;left:0;text-align:left;margin-left:-3.45pt;margin-top:84.5pt;width:317.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" filled="f" strokecolor="#84acb6 [3208]" strokeweight="1.5pt">
                      <v:stroke dashstyle="dash"/>
                      <v:textbox>
                        <w:txbxContent>
                          <w:p w14:paraId="11D62079" w14:textId="0B1E8A85" w:rsidR="00D261CB" w:rsidRDefault="00D261CB" w:rsidP="008E6A22">
                            <w:pPr>
                              <w:jc w:val="center"/>
                              <w:rPr>
                                <w:lang w:val="en-GB"/>
                              </w:rPr>
                            </w:pPr>
                            <w:r w:rsidRPr="00D261CB">
                              <w:rPr>
                                <w:b/>
                                <w:bCs/>
                                <w:lang w:val="en-GB"/>
                              </w:rPr>
                              <w:t>Staying safe</w:t>
                            </w:r>
                            <w:r>
                              <w:rPr>
                                <w:lang w:val="en-GB"/>
                              </w:rPr>
                              <w:t>:</w:t>
                            </w:r>
                          </w:p>
                          <w:p w14:paraId="2DB4C7B1" w14:textId="6FF8517E" w:rsidR="00D261CB" w:rsidRDefault="00D261CB" w:rsidP="008E6A22">
                            <w:pPr>
                              <w:jc w:val="center"/>
                              <w:rPr>
                                <w:lang w:val="en-GB"/>
                              </w:rPr>
                            </w:pPr>
                            <w:r>
                              <w:rPr>
                                <w:lang w:val="en-GB"/>
                              </w:rPr>
                              <w:t>Do</w:t>
                            </w:r>
                            <w:r w:rsidR="000E4DD8">
                              <w:rPr>
                                <w:lang w:val="en-GB"/>
                              </w:rPr>
                              <w:t xml:space="preserve"> no</w:t>
                            </w:r>
                            <w:r>
                              <w:rPr>
                                <w:lang w:val="en-GB"/>
                              </w:rPr>
                              <w:t>t use continuously</w:t>
                            </w:r>
                          </w:p>
                          <w:p w14:paraId="3E4D803D" w14:textId="480DCAAE" w:rsidR="00D261CB" w:rsidRDefault="00D261CB" w:rsidP="008E6A22">
                            <w:pPr>
                              <w:jc w:val="center"/>
                              <w:rPr>
                                <w:lang w:val="en-GB"/>
                              </w:rPr>
                            </w:pPr>
                            <w:r>
                              <w:rPr>
                                <w:lang w:val="en-GB"/>
                              </w:rPr>
                              <w:t>Do</w:t>
                            </w:r>
                            <w:r w:rsidR="000E4DD8">
                              <w:rPr>
                                <w:lang w:val="en-GB"/>
                              </w:rPr>
                              <w:t xml:space="preserve"> no</w:t>
                            </w:r>
                            <w:r>
                              <w:rPr>
                                <w:lang w:val="en-GB"/>
                              </w:rPr>
                              <w:t>t mix with other drugs or alcohol</w:t>
                            </w:r>
                          </w:p>
                          <w:p w14:paraId="24A2E9ED" w14:textId="13EAAD5E" w:rsidR="00D261CB" w:rsidRDefault="00D261CB" w:rsidP="008E6A22">
                            <w:pPr>
                              <w:jc w:val="center"/>
                              <w:rPr>
                                <w:lang w:val="en-GB"/>
                              </w:rPr>
                            </w:pPr>
                            <w:r>
                              <w:rPr>
                                <w:lang w:val="en-GB"/>
                              </w:rPr>
                              <w:t>Do</w:t>
                            </w:r>
                            <w:r w:rsidR="000E4DD8">
                              <w:rPr>
                                <w:lang w:val="en-GB"/>
                              </w:rPr>
                              <w:t xml:space="preserve"> no</w:t>
                            </w:r>
                            <w:r>
                              <w:rPr>
                                <w:lang w:val="en-GB"/>
                              </w:rPr>
                              <w:t>t inject</w:t>
                            </w:r>
                          </w:p>
                          <w:p w14:paraId="201F6651" w14:textId="1C972A4A" w:rsidR="00D261CB" w:rsidRDefault="00D261CB" w:rsidP="008E6A22">
                            <w:pPr>
                              <w:jc w:val="center"/>
                              <w:rPr>
                                <w:lang w:val="en-GB"/>
                              </w:rPr>
                            </w:pPr>
                            <w:r>
                              <w:rPr>
                                <w:lang w:val="en-GB"/>
                              </w:rPr>
                              <w:t>Do</w:t>
                            </w:r>
                            <w:r w:rsidR="000E4DD8">
                              <w:rPr>
                                <w:lang w:val="en-GB"/>
                              </w:rPr>
                              <w:t xml:space="preserve"> no</w:t>
                            </w:r>
                            <w:r>
                              <w:rPr>
                                <w:lang w:val="en-GB"/>
                              </w:rPr>
                              <w:t>t withdraw suddenly if using extensively</w:t>
                            </w:r>
                          </w:p>
                          <w:p w14:paraId="6A1F9205" w14:textId="41704DA3" w:rsidR="00D261CB" w:rsidRDefault="00D261CB" w:rsidP="008E6A22">
                            <w:pPr>
                              <w:jc w:val="center"/>
                              <w:rPr>
                                <w:lang w:val="en-GB"/>
                              </w:rPr>
                            </w:pPr>
                            <w:r>
                              <w:rPr>
                                <w:lang w:val="en-GB"/>
                              </w:rPr>
                              <w:t>Do</w:t>
                            </w:r>
                            <w:r w:rsidR="000E4DD8">
                              <w:rPr>
                                <w:lang w:val="en-GB"/>
                              </w:rPr>
                              <w:t xml:space="preserve"> no</w:t>
                            </w:r>
                            <w:r>
                              <w:rPr>
                                <w:lang w:val="en-GB"/>
                              </w:rPr>
                              <w:t>t drive or operate machinery</w:t>
                            </w:r>
                          </w:p>
                          <w:p w14:paraId="52C9ABC7" w14:textId="64EA56AB" w:rsidR="00D261CB" w:rsidRPr="00D261CB" w:rsidRDefault="00D261CB" w:rsidP="008E6A22">
                            <w:pPr>
                              <w:jc w:val="center"/>
                              <w:rPr>
                                <w:lang w:val="en-GB"/>
                              </w:rPr>
                            </w:pPr>
                            <w:r>
                              <w:rPr>
                                <w:lang w:val="en-GB"/>
                              </w:rPr>
                              <w:t>Be aware there are fakes.</w:t>
                            </w:r>
                          </w:p>
                        </w:txbxContent>
                      </v:textbox>
                    </v:rect>
                  </w:pict>
                </mc:Fallback>
              </mc:AlternateContent>
            </w:r>
            <w:r w:rsidR="00D261CB" w:rsidRPr="00D261CB">
              <w:t xml:space="preserve">We continue to support our children and young people, using different forms of media to keep in regular contact. We are still accepting new referrals through the usual means. We are now also starting to see our young people </w:t>
            </w:r>
            <w:r>
              <w:t>with social distancing in place.</w:t>
            </w:r>
          </w:p>
          <w:p w14:paraId="45064E4C" w14:textId="77777777" w:rsidR="000E4DD8" w:rsidRDefault="000E4DD8" w:rsidP="00D261CB">
            <w:pPr>
              <w:ind w:left="-57"/>
              <w:contextualSpacing w:val="0"/>
            </w:pPr>
          </w:p>
          <w:p w14:paraId="2CF9F0CA" w14:textId="77777777" w:rsidR="00EF71FC" w:rsidRDefault="00EF71FC" w:rsidP="00EF71FC">
            <w:pPr>
              <w:ind w:left="-57"/>
              <w:rPr>
                <w:b/>
                <w:color w:val="3494BA" w:themeColor="accent2"/>
              </w:rPr>
            </w:pPr>
          </w:p>
          <w:p w14:paraId="0B973693" w14:textId="77777777" w:rsidR="00EF71FC" w:rsidRDefault="00EF71FC" w:rsidP="00EF71FC">
            <w:pPr>
              <w:ind w:left="-57"/>
              <w:rPr>
                <w:b/>
                <w:color w:val="3494BA" w:themeColor="accent2"/>
              </w:rPr>
            </w:pPr>
          </w:p>
          <w:p w14:paraId="431559ED" w14:textId="77777777" w:rsidR="00EF71FC" w:rsidRDefault="00EF71FC" w:rsidP="00EF71FC">
            <w:pPr>
              <w:ind w:left="-57"/>
              <w:rPr>
                <w:b/>
                <w:color w:val="3494BA" w:themeColor="accent2"/>
              </w:rPr>
            </w:pPr>
          </w:p>
          <w:p w14:paraId="2527BF9A" w14:textId="77777777" w:rsidR="00EF71FC" w:rsidRDefault="00EF71FC" w:rsidP="00EF71FC">
            <w:pPr>
              <w:tabs>
                <w:tab w:val="left" w:pos="4215"/>
              </w:tabs>
              <w:ind w:left="-57"/>
              <w:rPr>
                <w:b/>
                <w:color w:val="3494BA" w:themeColor="accent2"/>
              </w:rPr>
            </w:pPr>
            <w:r>
              <w:rPr>
                <w:b/>
                <w:color w:val="3494BA" w:themeColor="accent2"/>
              </w:rPr>
              <w:tab/>
            </w:r>
          </w:p>
          <w:p w14:paraId="00EE3D02" w14:textId="77777777" w:rsidR="00EF71FC" w:rsidRDefault="00EF71FC" w:rsidP="00EF71FC">
            <w:pPr>
              <w:ind w:left="-57"/>
              <w:rPr>
                <w:b/>
                <w:color w:val="3494BA" w:themeColor="accent2"/>
              </w:rPr>
            </w:pPr>
          </w:p>
          <w:p w14:paraId="7CF02C8E" w14:textId="77777777" w:rsidR="00EF71FC" w:rsidRDefault="00EF71FC" w:rsidP="00EF71FC">
            <w:pPr>
              <w:pStyle w:val="Quote"/>
              <w:ind w:left="0" w:right="74"/>
              <w:rPr>
                <w:sz w:val="22"/>
              </w:rPr>
            </w:pPr>
            <w:r w:rsidRPr="006E1CE8">
              <w:rPr>
                <w:sz w:val="22"/>
              </w:rPr>
              <w:t>If you are worried about a friend, family member or yourself and are after some more information, please get in touch:</w:t>
            </w:r>
          </w:p>
          <w:p w14:paraId="24EA2D76" w14:textId="77777777" w:rsidR="00EF71FC" w:rsidRPr="006E1CE8" w:rsidRDefault="00EF71FC" w:rsidP="00EF71FC">
            <w:pPr>
              <w:pStyle w:val="Quote"/>
              <w:ind w:left="0" w:right="74"/>
              <w:rPr>
                <w:sz w:val="22"/>
              </w:rPr>
            </w:pPr>
          </w:p>
          <w:p w14:paraId="46DED4AB" w14:textId="77777777" w:rsidR="00EF71FC" w:rsidRDefault="00EF71FC" w:rsidP="00EF71FC">
            <w:pPr>
              <w:pStyle w:val="Quote"/>
              <w:spacing w:after="0" w:line="276" w:lineRule="auto"/>
              <w:ind w:left="0" w:right="74"/>
              <w:rPr>
                <w:b/>
                <w:i w:val="0"/>
                <w:sz w:val="22"/>
              </w:rPr>
            </w:pPr>
            <w:r w:rsidRPr="006E1CE8">
              <w:rPr>
                <w:b/>
                <w:i w:val="0"/>
                <w:sz w:val="22"/>
              </w:rPr>
              <w:t>Service mainline: 01788 578 22</w:t>
            </w:r>
            <w:r>
              <w:rPr>
                <w:b/>
                <w:i w:val="0"/>
                <w:sz w:val="22"/>
              </w:rPr>
              <w:t xml:space="preserve">7 </w:t>
            </w:r>
          </w:p>
          <w:p w14:paraId="6D9184ED" w14:textId="77777777" w:rsidR="00EF71FC" w:rsidRDefault="00EF71FC" w:rsidP="00EF71FC">
            <w:pPr>
              <w:pStyle w:val="Quote"/>
              <w:spacing w:after="0" w:line="276" w:lineRule="auto"/>
              <w:ind w:left="0" w:right="74"/>
              <w:rPr>
                <w:b/>
                <w:i w:val="0"/>
                <w:sz w:val="22"/>
              </w:rPr>
            </w:pPr>
            <w:r w:rsidRPr="006E1CE8">
              <w:rPr>
                <w:b/>
                <w:i w:val="0"/>
                <w:sz w:val="22"/>
              </w:rPr>
              <w:t xml:space="preserve">Text </w:t>
            </w:r>
            <w:proofErr w:type="spellStart"/>
            <w:r w:rsidRPr="006E1CE8">
              <w:rPr>
                <w:b/>
                <w:i w:val="0"/>
                <w:sz w:val="22"/>
              </w:rPr>
              <w:t>ChatHealth</w:t>
            </w:r>
            <w:proofErr w:type="spellEnd"/>
            <w:r>
              <w:rPr>
                <w:b/>
                <w:i w:val="0"/>
                <w:sz w:val="22"/>
              </w:rPr>
              <w:t>:</w:t>
            </w:r>
            <w:r w:rsidRPr="006E1CE8">
              <w:rPr>
                <w:b/>
                <w:i w:val="0"/>
                <w:sz w:val="22"/>
              </w:rPr>
              <w:t xml:space="preserve"> 07507</w:t>
            </w:r>
            <w:r>
              <w:rPr>
                <w:b/>
                <w:i w:val="0"/>
                <w:sz w:val="22"/>
              </w:rPr>
              <w:t xml:space="preserve"> </w:t>
            </w:r>
            <w:r w:rsidRPr="006E1CE8">
              <w:rPr>
                <w:b/>
                <w:i w:val="0"/>
                <w:sz w:val="22"/>
              </w:rPr>
              <w:t>331</w:t>
            </w:r>
            <w:r>
              <w:rPr>
                <w:b/>
                <w:i w:val="0"/>
                <w:sz w:val="22"/>
              </w:rPr>
              <w:t xml:space="preserve"> </w:t>
            </w:r>
            <w:r w:rsidRPr="006E1CE8">
              <w:rPr>
                <w:b/>
                <w:i w:val="0"/>
                <w:sz w:val="22"/>
              </w:rPr>
              <w:t xml:space="preserve">525 </w:t>
            </w:r>
            <w:r w:rsidRPr="00894FDB">
              <w:rPr>
                <w:i w:val="0"/>
                <w:sz w:val="18"/>
              </w:rPr>
              <w:t>(for ages 11-19)</w:t>
            </w:r>
            <w:r w:rsidRPr="00894FDB">
              <w:rPr>
                <w:b/>
                <w:i w:val="0"/>
                <w:sz w:val="18"/>
              </w:rPr>
              <w:t xml:space="preserve"> </w:t>
            </w:r>
          </w:p>
          <w:p w14:paraId="02A56C04" w14:textId="77777777" w:rsidR="00EF71FC" w:rsidRDefault="00EF71FC" w:rsidP="00EF71FC">
            <w:pPr>
              <w:pStyle w:val="Quote"/>
              <w:spacing w:after="0" w:line="276" w:lineRule="auto"/>
              <w:ind w:left="0" w:right="74"/>
              <w:rPr>
                <w:b/>
                <w:i w:val="0"/>
                <w:sz w:val="22"/>
              </w:rPr>
            </w:pPr>
            <w:r w:rsidRPr="006E1CE8">
              <w:rPr>
                <w:b/>
                <w:i w:val="0"/>
                <w:sz w:val="22"/>
              </w:rPr>
              <w:t xml:space="preserve">Email: </w:t>
            </w:r>
            <w:hyperlink r:id="rId11" w:history="1">
              <w:r w:rsidRPr="006E1CE8">
                <w:rPr>
                  <w:rStyle w:val="Hyperlink"/>
                  <w:b/>
                  <w:i w:val="0"/>
                  <w:color w:val="FFFFFF" w:themeColor="background1"/>
                  <w:sz w:val="22"/>
                </w:rPr>
                <w:t>compass.warksypsduty@nhs.net</w:t>
              </w:r>
            </w:hyperlink>
            <w:r w:rsidRPr="006E1CE8">
              <w:rPr>
                <w:b/>
                <w:i w:val="0"/>
                <w:sz w:val="22"/>
              </w:rPr>
              <w:t xml:space="preserve"> </w:t>
            </w:r>
          </w:p>
          <w:p w14:paraId="1F2D88EE" w14:textId="77777777" w:rsidR="00EF71FC" w:rsidRPr="006E1CE8" w:rsidRDefault="00EF71FC" w:rsidP="00EF71FC">
            <w:pPr>
              <w:pStyle w:val="Quote"/>
              <w:spacing w:after="0" w:line="276" w:lineRule="auto"/>
              <w:ind w:left="0" w:right="74"/>
              <w:rPr>
                <w:b/>
                <w:i w:val="0"/>
                <w:sz w:val="22"/>
              </w:rPr>
            </w:pPr>
            <w:r w:rsidRPr="006E1CE8">
              <w:rPr>
                <w:b/>
                <w:i w:val="0"/>
                <w:sz w:val="22"/>
              </w:rPr>
              <w:t>Instagram: @compasswarksyp</w:t>
            </w:r>
          </w:p>
          <w:p w14:paraId="4B260131" w14:textId="0409E784" w:rsidR="00EF71FC" w:rsidRDefault="00EF71FC" w:rsidP="00EF71FC">
            <w:pPr>
              <w:ind w:left="-57"/>
              <w:rPr>
                <w:b/>
                <w:color w:val="3494BA" w:themeColor="accent2"/>
                <w:sz w:val="16"/>
                <w:szCs w:val="16"/>
              </w:rPr>
            </w:pPr>
          </w:p>
          <w:p w14:paraId="29BCEFB1" w14:textId="5044280D" w:rsidR="00403A23" w:rsidRDefault="00403A23" w:rsidP="00403A23">
            <w:pPr>
              <w:rPr>
                <w:b/>
                <w:color w:val="3494BA" w:themeColor="accent2"/>
                <w:sz w:val="16"/>
                <w:szCs w:val="16"/>
              </w:rPr>
            </w:pPr>
          </w:p>
          <w:p w14:paraId="1E03FD4C" w14:textId="77777777" w:rsidR="00403A23" w:rsidRPr="00403A23" w:rsidRDefault="00403A23" w:rsidP="00403A23">
            <w:pPr>
              <w:rPr>
                <w:b/>
                <w:color w:val="3494BA" w:themeColor="accent2"/>
                <w:sz w:val="16"/>
                <w:szCs w:val="16"/>
              </w:rPr>
            </w:pPr>
          </w:p>
          <w:p w14:paraId="3E3EDCBF" w14:textId="6E84A5F8" w:rsidR="00D261CB" w:rsidRPr="00494700" w:rsidRDefault="00403A23" w:rsidP="00403A23">
            <w:pPr>
              <w:spacing w:after="120"/>
              <w:ind w:left="-57"/>
              <w:jc w:val="center"/>
              <w:rPr>
                <w:b/>
                <w:color w:val="3494BA" w:themeColor="accent2"/>
              </w:rPr>
            </w:pPr>
            <w:r>
              <w:rPr>
                <w:b/>
                <w:color w:val="3494BA" w:themeColor="accent2"/>
              </w:rPr>
              <w:br/>
            </w:r>
            <w:r w:rsidR="00D261CB">
              <w:rPr>
                <w:b/>
                <w:color w:val="3494BA" w:themeColor="accent2"/>
              </w:rPr>
              <w:t>Always call 999 in an emergency!</w:t>
            </w:r>
          </w:p>
        </w:tc>
        <w:tc>
          <w:tcPr>
            <w:tcW w:w="4011" w:type="dxa"/>
            <w:tcBorders>
              <w:top w:val="dashed" w:sz="12" w:space="0" w:color="BFBFBF" w:themeColor="background1" w:themeShade="BF"/>
              <w:left w:val="dashed" w:sz="12" w:space="0" w:color="BFBFBF" w:themeColor="background1" w:themeShade="BF"/>
              <w:bottom w:val="dashed" w:sz="12" w:space="0" w:color="BFBFBF" w:themeColor="background1" w:themeShade="BF"/>
              <w:right w:val="dashed" w:sz="12" w:space="0" w:color="BFBFBF" w:themeColor="background1" w:themeShade="BF"/>
            </w:tcBorders>
            <w:tcMar>
              <w:left w:w="288" w:type="dxa"/>
              <w:right w:w="115" w:type="dxa"/>
            </w:tcMar>
          </w:tcPr>
          <w:p w14:paraId="0CA7508D" w14:textId="17D55232" w:rsidR="00EF71FC" w:rsidRPr="004F0D34" w:rsidRDefault="00126AA5" w:rsidP="00907319">
            <w:pPr>
              <w:pStyle w:val="SectionLabelALLCAPS"/>
              <w:spacing w:before="120" w:afterLines="100"/>
              <w:ind w:left="-170"/>
            </w:pPr>
            <w:r>
              <w:t>Benzodiazepines: AKA benzos</w:t>
            </w:r>
          </w:p>
          <w:p w14:paraId="7929EDCD" w14:textId="3E20BE1D" w:rsidR="00126AA5" w:rsidRPr="00D261CB" w:rsidRDefault="00126AA5" w:rsidP="00D261CB">
            <w:pPr>
              <w:pStyle w:val="IntenseQuote"/>
              <w:spacing w:afterLines="50" w:after="120"/>
              <w:ind w:left="-170"/>
              <w:contextualSpacing w:val="0"/>
              <w:rPr>
                <w:b w:val="0"/>
                <w:bCs/>
                <w:color w:val="000000" w:themeColor="text1"/>
                <w:sz w:val="22"/>
                <w:szCs w:val="20"/>
              </w:rPr>
            </w:pPr>
            <w:r w:rsidRPr="00D261CB">
              <w:rPr>
                <w:b w:val="0"/>
                <w:bCs/>
                <w:color w:val="000000" w:themeColor="text1"/>
                <w:sz w:val="22"/>
                <w:szCs w:val="20"/>
              </w:rPr>
              <w:t>Benzodiazepines are prescribed as sedatives. They are muscle relaxants and help to tackle anxiety</w:t>
            </w:r>
            <w:r w:rsidR="00FA31CF" w:rsidRPr="00D261CB">
              <w:rPr>
                <w:b w:val="0"/>
                <w:bCs/>
                <w:color w:val="000000" w:themeColor="text1"/>
                <w:sz w:val="22"/>
                <w:szCs w:val="20"/>
              </w:rPr>
              <w:t>. Those with long-term prescriptions for benzos will have to have this reviewed regularly. These drugs often end up on the street and are misused.</w:t>
            </w:r>
            <w:r w:rsidR="00D261CB">
              <w:rPr>
                <w:b w:val="0"/>
                <w:bCs/>
                <w:color w:val="000000" w:themeColor="text1"/>
                <w:sz w:val="22"/>
                <w:szCs w:val="20"/>
              </w:rPr>
              <w:t xml:space="preserve"> They are usually in tablet or capsule form and will vary in price.</w:t>
            </w:r>
          </w:p>
          <w:p w14:paraId="1F5AAF98" w14:textId="2B8F5510" w:rsidR="00EF71FC" w:rsidRDefault="00EF71FC" w:rsidP="00907319">
            <w:pPr>
              <w:pStyle w:val="IntenseQuote"/>
              <w:spacing w:afterLines="50" w:after="120"/>
              <w:ind w:left="-170"/>
              <w:contextualSpacing w:val="0"/>
              <w:rPr>
                <w:color w:val="000000" w:themeColor="text1"/>
                <w:sz w:val="24"/>
              </w:rPr>
            </w:pPr>
            <w:r w:rsidRPr="00AB22D0">
              <w:rPr>
                <w:color w:val="000000" w:themeColor="text1"/>
                <w:sz w:val="24"/>
              </w:rPr>
              <w:t>THE EFFECTS</w:t>
            </w:r>
          </w:p>
          <w:p w14:paraId="7E3AA9C1" w14:textId="092A23EC" w:rsidR="00FA31CF" w:rsidRPr="00D261CB" w:rsidRDefault="00FA31CF" w:rsidP="00D261CB">
            <w:pPr>
              <w:pStyle w:val="IntenseQuote"/>
              <w:spacing w:afterLines="50" w:after="120"/>
              <w:ind w:left="-170"/>
              <w:contextualSpacing w:val="0"/>
              <w:rPr>
                <w:b w:val="0"/>
                <w:bCs/>
                <w:color w:val="000000" w:themeColor="text1"/>
                <w:sz w:val="22"/>
                <w:szCs w:val="20"/>
              </w:rPr>
            </w:pPr>
            <w:r w:rsidRPr="00D261CB">
              <w:rPr>
                <w:b w:val="0"/>
                <w:bCs/>
                <w:color w:val="000000" w:themeColor="text1"/>
                <w:sz w:val="22"/>
                <w:szCs w:val="20"/>
              </w:rPr>
              <w:t xml:space="preserve">Benzos cause relaxation and help to reduce anxiety and stress. They make people drowsy, cause amnesia, slurred speech and confusion. People may find using benzos disinhibiting in the same way that alcohol is. </w:t>
            </w:r>
            <w:r w:rsidR="00F05DBB" w:rsidRPr="00D261CB">
              <w:rPr>
                <w:b w:val="0"/>
                <w:bCs/>
                <w:color w:val="000000" w:themeColor="text1"/>
                <w:sz w:val="22"/>
                <w:szCs w:val="20"/>
              </w:rPr>
              <w:t>Some users may feel invisible or invulnerable when using.</w:t>
            </w:r>
            <w:r w:rsidR="00D261CB">
              <w:rPr>
                <w:b w:val="0"/>
                <w:bCs/>
                <w:color w:val="000000" w:themeColor="text1"/>
                <w:sz w:val="22"/>
                <w:szCs w:val="20"/>
              </w:rPr>
              <w:t xml:space="preserve"> Mixing benzos with alcohol can be extremely dangerous.</w:t>
            </w:r>
          </w:p>
          <w:p w14:paraId="5D901735" w14:textId="3CED7F55" w:rsidR="00EF71FC" w:rsidRPr="00AB22D0" w:rsidRDefault="00EF71FC" w:rsidP="00907319">
            <w:pPr>
              <w:spacing w:afterLines="50" w:after="120"/>
              <w:ind w:left="-170"/>
              <w:contextualSpacing w:val="0"/>
              <w:rPr>
                <w:b/>
                <w:color w:val="3494BA" w:themeColor="accent2"/>
                <w:sz w:val="24"/>
              </w:rPr>
            </w:pPr>
            <w:r w:rsidRPr="00AB22D0">
              <w:rPr>
                <w:b/>
                <w:color w:val="3494BA" w:themeColor="accent2"/>
                <w:sz w:val="24"/>
              </w:rPr>
              <w:t>THE RISKS</w:t>
            </w:r>
          </w:p>
          <w:p w14:paraId="7BD72198" w14:textId="417C0798" w:rsidR="00EF71FC" w:rsidRPr="00D261CB" w:rsidRDefault="00F05DBB" w:rsidP="00907319">
            <w:pPr>
              <w:spacing w:afterLines="150" w:after="360"/>
              <w:ind w:left="-170"/>
              <w:rPr>
                <w:bCs/>
                <w:color w:val="3494BA" w:themeColor="accent2"/>
              </w:rPr>
            </w:pPr>
            <w:r w:rsidRPr="00D261CB">
              <w:rPr>
                <w:bCs/>
                <w:color w:val="3494BA" w:themeColor="accent2"/>
              </w:rPr>
              <w:t>The risks of benzos include building up a tolerance to the drugs and becoming physically dependent on the drug. Coming off the drug may cause unpleasant symptoms such as insomnia, tremors, anxiety and in serious cases convulsions. The withdrawal process should always be done under medical supervision.</w:t>
            </w:r>
          </w:p>
          <w:p w14:paraId="0730C027" w14:textId="77777777" w:rsidR="00EF71FC" w:rsidRPr="001D5B39" w:rsidRDefault="00EF71FC" w:rsidP="00907319">
            <w:pPr>
              <w:pStyle w:val="IntenseQuote"/>
              <w:spacing w:afterLines="50" w:after="120"/>
              <w:ind w:left="-170"/>
              <w:contextualSpacing w:val="0"/>
              <w:rPr>
                <w:color w:val="000000" w:themeColor="text1"/>
                <w:sz w:val="24"/>
              </w:rPr>
            </w:pPr>
            <w:r w:rsidRPr="00AB22D0">
              <w:rPr>
                <w:color w:val="000000" w:themeColor="text1"/>
                <w:sz w:val="24"/>
              </w:rPr>
              <w:t xml:space="preserve">THE </w:t>
            </w:r>
            <w:r>
              <w:rPr>
                <w:color w:val="000000" w:themeColor="text1"/>
                <w:sz w:val="24"/>
              </w:rPr>
              <w:t>LAW</w:t>
            </w:r>
          </w:p>
          <w:p w14:paraId="74485C6D" w14:textId="3101A158" w:rsidR="00EF71FC" w:rsidRPr="00FE0AEA" w:rsidRDefault="00F05DBB" w:rsidP="00907319">
            <w:pPr>
              <w:ind w:left="-170"/>
            </w:pPr>
            <w:r>
              <w:t>Most benzodiazepines are class C drugs, supplying a class C drug could get you a 14 year prison sentence. They should only be supplied, produced and possessed by those authorized.</w:t>
            </w:r>
            <w:r w:rsidR="00D261CB">
              <w:t xml:space="preserve"> </w:t>
            </w:r>
            <w:r w:rsidR="00D261CB" w:rsidRPr="00D261CB">
              <w:t>Mixing both alcohol and benzodiazepines together creates a significant risk of overdose, particular for those that are naive to benzodiazepines.</w:t>
            </w:r>
          </w:p>
        </w:tc>
      </w:tr>
    </w:tbl>
    <w:p w14:paraId="29286A16" w14:textId="77777777" w:rsidR="00DD60A4" w:rsidRPr="00203C60" w:rsidRDefault="00DD60A4" w:rsidP="00203C60">
      <w:pPr>
        <w:rPr>
          <w:sz w:val="2"/>
          <w:szCs w:val="2"/>
        </w:rPr>
      </w:pPr>
    </w:p>
    <w:sectPr w:rsidR="00DD60A4" w:rsidRPr="00203C60" w:rsidSect="00403A23">
      <w:headerReference w:type="first" r:id="rId12"/>
      <w:type w:val="continuous"/>
      <w:pgSz w:w="12240" w:h="15840" w:code="1"/>
      <w:pgMar w:top="567" w:right="567" w:bottom="567" w:left="56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8095" w14:textId="77777777" w:rsidR="00D261CB" w:rsidRDefault="00D261CB">
      <w:pPr>
        <w:spacing w:after="0"/>
      </w:pPr>
      <w:r>
        <w:separator/>
      </w:r>
    </w:p>
  </w:endnote>
  <w:endnote w:type="continuationSeparator" w:id="0">
    <w:p w14:paraId="07217139" w14:textId="77777777" w:rsidR="00D261CB" w:rsidRDefault="00D26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05435" w14:textId="77777777" w:rsidR="00D261CB" w:rsidRDefault="00D261CB">
      <w:pPr>
        <w:spacing w:after="0"/>
      </w:pPr>
      <w:r>
        <w:separator/>
      </w:r>
    </w:p>
  </w:footnote>
  <w:footnote w:type="continuationSeparator" w:id="0">
    <w:p w14:paraId="313A2188" w14:textId="77777777" w:rsidR="00D261CB" w:rsidRDefault="00D261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074D6" w14:textId="2AAAFA11" w:rsidR="00D261CB" w:rsidRDefault="00D261CB">
    <w:pPr>
      <w:pStyle w:val="Header"/>
    </w:pPr>
    <w:r>
      <w:rPr>
        <w:noProof/>
        <w:lang w:val="en-GB" w:eastAsia="en-GB"/>
      </w:rPr>
      <w:drawing>
        <wp:anchor distT="0" distB="0" distL="114300" distR="114300" simplePos="0" relativeHeight="251662336" behindDoc="1" locked="0" layoutInCell="1" allowOverlap="1" wp14:anchorId="7F1F63A1" wp14:editId="7A7ED37F">
          <wp:simplePos x="0" y="0"/>
          <wp:positionH relativeFrom="column">
            <wp:posOffset>-992505</wp:posOffset>
          </wp:positionH>
          <wp:positionV relativeFrom="paragraph">
            <wp:posOffset>-2141220</wp:posOffset>
          </wp:positionV>
          <wp:extent cx="8419383" cy="493776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nt drip.png"/>
                  <pic:cNvPicPr/>
                </pic:nvPicPr>
                <pic:blipFill>
                  <a:blip r:embed="rId1">
                    <a:extLst>
                      <a:ext uri="{28A0092B-C50C-407E-A947-70E740481C1C}">
                        <a14:useLocalDpi xmlns:a14="http://schemas.microsoft.com/office/drawing/2010/main" val="0"/>
                      </a:ext>
                    </a:extLst>
                  </a:blip>
                  <a:stretch>
                    <a:fillRect/>
                  </a:stretch>
                </pic:blipFill>
                <pic:spPr>
                  <a:xfrm>
                    <a:off x="0" y="0"/>
                    <a:ext cx="8421848" cy="4939206"/>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7456" behindDoc="1" locked="0" layoutInCell="1" allowOverlap="1" wp14:anchorId="5447C5CD" wp14:editId="607C2E66">
              <wp:simplePos x="0" y="0"/>
              <wp:positionH relativeFrom="column">
                <wp:posOffset>1628775</wp:posOffset>
              </wp:positionH>
              <wp:positionV relativeFrom="paragraph">
                <wp:posOffset>412115</wp:posOffset>
              </wp:positionV>
              <wp:extent cx="5305425" cy="313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3690"/>
                      </a:xfrm>
                      <a:prstGeom prst="rect">
                        <a:avLst/>
                      </a:prstGeom>
                      <a:noFill/>
                      <a:ln w="9525">
                        <a:noFill/>
                        <a:miter lim="800000"/>
                        <a:headEnd/>
                        <a:tailEnd/>
                      </a:ln>
                    </wps:spPr>
                    <wps:txbx>
                      <w:txbxContent>
                        <w:p w14:paraId="40083C32" w14:textId="77777777" w:rsidR="00D261CB" w:rsidRPr="00B21503" w:rsidRDefault="00D261CB" w:rsidP="00B21503">
                          <w:pPr>
                            <w:pStyle w:val="NewsletterDate"/>
                            <w:jc w:val="left"/>
                            <w:rPr>
                              <w:color w:val="FFFFFF" w:themeColor="background1"/>
                              <w:sz w:val="30"/>
                              <w:szCs w:val="30"/>
                            </w:rPr>
                          </w:pPr>
                          <w:r w:rsidRPr="00B21503">
                            <w:rPr>
                              <w:color w:val="FFFFFF" w:themeColor="background1"/>
                              <w:sz w:val="30"/>
                              <w:szCs w:val="30"/>
                            </w:rPr>
                            <w:t>Children &amp; Young People’s Drug &amp; Alcohol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7C5CD" id="_x0000_t202" coordsize="21600,21600" o:spt="202" path="m,l,21600r21600,l21600,xe">
              <v:stroke joinstyle="miter"/>
              <v:path gradientshapeok="t" o:connecttype="rect"/>
            </v:shapetype>
            <v:shape id="Text Box 2" o:spid="_x0000_s1027" type="#_x0000_t202" style="position:absolute;margin-left:128.25pt;margin-top:32.45pt;width:417.75pt;height:24.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" filled="f" stroked="f">
              <v:textbox>
                <w:txbxContent>
                  <w:p w14:paraId="40083C32" w14:textId="77777777" w:rsidR="00D261CB" w:rsidRPr="00B21503" w:rsidRDefault="00D261CB" w:rsidP="00B21503">
                    <w:pPr>
                      <w:pStyle w:val="NewsletterDate"/>
                      <w:jc w:val="left"/>
                      <w:rPr>
                        <w:color w:val="FFFFFF" w:themeColor="background1"/>
                        <w:sz w:val="30"/>
                        <w:szCs w:val="30"/>
                      </w:rPr>
                    </w:pPr>
                    <w:r w:rsidRPr="00B21503">
                      <w:rPr>
                        <w:color w:val="FFFFFF" w:themeColor="background1"/>
                        <w:sz w:val="30"/>
                        <w:szCs w:val="30"/>
                      </w:rPr>
                      <w:t>Children &amp; Young People’s Drug &amp; Alcohol Services</w:t>
                    </w:r>
                  </w:p>
                </w:txbxContent>
              </v:textbox>
            </v:shape>
          </w:pict>
        </mc:Fallback>
      </mc:AlternateContent>
    </w:r>
    <w:r>
      <w:rPr>
        <w:noProof/>
        <w:lang w:val="en-GB" w:eastAsia="en-GB"/>
      </w:rPr>
      <w:drawing>
        <wp:anchor distT="0" distB="0" distL="114300" distR="114300" simplePos="0" relativeHeight="251665408" behindDoc="1" locked="0" layoutInCell="1" allowOverlap="1" wp14:anchorId="170CF299" wp14:editId="66C38E81">
          <wp:simplePos x="0" y="0"/>
          <wp:positionH relativeFrom="column">
            <wp:posOffset>-37465</wp:posOffset>
          </wp:positionH>
          <wp:positionV relativeFrom="paragraph">
            <wp:posOffset>250190</wp:posOffset>
          </wp:positionV>
          <wp:extent cx="1647190" cy="64389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ssLogo_Medium_Colour.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4719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BD2D80"/>
    <w:multiLevelType w:val="hybridMultilevel"/>
    <w:tmpl w:val="7FF2F4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3C"/>
    <w:rsid w:val="0001670C"/>
    <w:rsid w:val="00023B09"/>
    <w:rsid w:val="0003519E"/>
    <w:rsid w:val="000428AA"/>
    <w:rsid w:val="0008008E"/>
    <w:rsid w:val="000805EA"/>
    <w:rsid w:val="00083E9F"/>
    <w:rsid w:val="00091A3E"/>
    <w:rsid w:val="000E4DD8"/>
    <w:rsid w:val="000F0843"/>
    <w:rsid w:val="000F3AD0"/>
    <w:rsid w:val="00126AA5"/>
    <w:rsid w:val="00127B84"/>
    <w:rsid w:val="001855BE"/>
    <w:rsid w:val="001A023C"/>
    <w:rsid w:val="001D22C0"/>
    <w:rsid w:val="001D5B39"/>
    <w:rsid w:val="001E10E0"/>
    <w:rsid w:val="001F7C38"/>
    <w:rsid w:val="00200213"/>
    <w:rsid w:val="00203C60"/>
    <w:rsid w:val="00261B6E"/>
    <w:rsid w:val="002A4693"/>
    <w:rsid w:val="002A4E43"/>
    <w:rsid w:val="00306B13"/>
    <w:rsid w:val="0031698D"/>
    <w:rsid w:val="00383D66"/>
    <w:rsid w:val="003B6895"/>
    <w:rsid w:val="003E21F0"/>
    <w:rsid w:val="00403A23"/>
    <w:rsid w:val="00427E61"/>
    <w:rsid w:val="0047573F"/>
    <w:rsid w:val="00494700"/>
    <w:rsid w:val="004A4CDF"/>
    <w:rsid w:val="004B1491"/>
    <w:rsid w:val="004C0402"/>
    <w:rsid w:val="004C137D"/>
    <w:rsid w:val="004C3871"/>
    <w:rsid w:val="004F0D34"/>
    <w:rsid w:val="004F0F33"/>
    <w:rsid w:val="00500AA0"/>
    <w:rsid w:val="00542FBD"/>
    <w:rsid w:val="00591DA5"/>
    <w:rsid w:val="005A3D35"/>
    <w:rsid w:val="005B4E08"/>
    <w:rsid w:val="005E5DB5"/>
    <w:rsid w:val="00600FA0"/>
    <w:rsid w:val="00615239"/>
    <w:rsid w:val="006634F9"/>
    <w:rsid w:val="00690C71"/>
    <w:rsid w:val="00693179"/>
    <w:rsid w:val="006E1CE8"/>
    <w:rsid w:val="00795096"/>
    <w:rsid w:val="007B09C3"/>
    <w:rsid w:val="007B2312"/>
    <w:rsid w:val="007C6AC9"/>
    <w:rsid w:val="007D6C9E"/>
    <w:rsid w:val="007E1E06"/>
    <w:rsid w:val="007F74B6"/>
    <w:rsid w:val="00806C3A"/>
    <w:rsid w:val="00855A8D"/>
    <w:rsid w:val="00894FDB"/>
    <w:rsid w:val="008A18A4"/>
    <w:rsid w:val="008A5906"/>
    <w:rsid w:val="008A7939"/>
    <w:rsid w:val="008C6625"/>
    <w:rsid w:val="008E32C7"/>
    <w:rsid w:val="008E6A22"/>
    <w:rsid w:val="00900FBA"/>
    <w:rsid w:val="009069A0"/>
    <w:rsid w:val="00907319"/>
    <w:rsid w:val="00915937"/>
    <w:rsid w:val="009630D9"/>
    <w:rsid w:val="0096511B"/>
    <w:rsid w:val="00990252"/>
    <w:rsid w:val="0099119B"/>
    <w:rsid w:val="009E24C8"/>
    <w:rsid w:val="009E38FC"/>
    <w:rsid w:val="009E7006"/>
    <w:rsid w:val="00A026E7"/>
    <w:rsid w:val="00A0456B"/>
    <w:rsid w:val="00A66795"/>
    <w:rsid w:val="00AA6390"/>
    <w:rsid w:val="00AA71A8"/>
    <w:rsid w:val="00AA72C5"/>
    <w:rsid w:val="00AB22D0"/>
    <w:rsid w:val="00AD10E8"/>
    <w:rsid w:val="00AD1D74"/>
    <w:rsid w:val="00AD2428"/>
    <w:rsid w:val="00B21503"/>
    <w:rsid w:val="00B555C2"/>
    <w:rsid w:val="00B9356D"/>
    <w:rsid w:val="00BA0E7B"/>
    <w:rsid w:val="00BB1F73"/>
    <w:rsid w:val="00BB788E"/>
    <w:rsid w:val="00BE25CF"/>
    <w:rsid w:val="00BF19F1"/>
    <w:rsid w:val="00C243F9"/>
    <w:rsid w:val="00C5306F"/>
    <w:rsid w:val="00C615AC"/>
    <w:rsid w:val="00C705F6"/>
    <w:rsid w:val="00C70873"/>
    <w:rsid w:val="00C8123D"/>
    <w:rsid w:val="00CD3E4D"/>
    <w:rsid w:val="00CD7B4D"/>
    <w:rsid w:val="00CF1D3A"/>
    <w:rsid w:val="00D06254"/>
    <w:rsid w:val="00D261CB"/>
    <w:rsid w:val="00D72AB0"/>
    <w:rsid w:val="00D878E7"/>
    <w:rsid w:val="00DC0FCB"/>
    <w:rsid w:val="00DC14C4"/>
    <w:rsid w:val="00DD60A4"/>
    <w:rsid w:val="00DF6ABC"/>
    <w:rsid w:val="00E01829"/>
    <w:rsid w:val="00E44497"/>
    <w:rsid w:val="00E93E23"/>
    <w:rsid w:val="00E95250"/>
    <w:rsid w:val="00ED4F35"/>
    <w:rsid w:val="00ED4F68"/>
    <w:rsid w:val="00ED56D4"/>
    <w:rsid w:val="00EE034B"/>
    <w:rsid w:val="00EF71FC"/>
    <w:rsid w:val="00F05DBB"/>
    <w:rsid w:val="00F4516F"/>
    <w:rsid w:val="00F81447"/>
    <w:rsid w:val="00FA31CF"/>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D1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98E98"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98E98"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65E65"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98E98"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98E98"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65E65"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65E65"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7A8C8E"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7A8C8E"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373545"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373545"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98E98"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3494BA" w:themeColor="accent2"/>
        <w:left w:val="single" w:sz="2" w:space="8" w:color="3494BA" w:themeColor="accent2"/>
        <w:bottom w:val="single" w:sz="2" w:space="16" w:color="3494BA" w:themeColor="accent2"/>
        <w:right w:val="single" w:sz="2" w:space="8" w:color="3494BA" w:themeColor="accent2"/>
      </w:pBdr>
      <w:shd w:val="clear" w:color="auto" w:fill="3494BA"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3494BA" w:themeFill="accent2"/>
    </w:rPr>
  </w:style>
  <w:style w:type="paragraph" w:styleId="IntenseQuote">
    <w:name w:val="Intense Quote"/>
    <w:basedOn w:val="Normal"/>
    <w:link w:val="IntenseQuoteChar"/>
    <w:uiPriority w:val="6"/>
    <w:qFormat/>
    <w:rsid w:val="003B6895"/>
    <w:rPr>
      <w:b/>
      <w:iCs/>
      <w:color w:val="3494BA" w:themeColor="accent2"/>
      <w:sz w:val="28"/>
    </w:rPr>
  </w:style>
  <w:style w:type="character" w:customStyle="1" w:styleId="IntenseQuoteChar">
    <w:name w:val="Intense Quote Char"/>
    <w:basedOn w:val="DefaultParagraphFont"/>
    <w:link w:val="IntenseQuote"/>
    <w:uiPriority w:val="6"/>
    <w:rsid w:val="003B6895"/>
    <w:rPr>
      <w:b/>
      <w:iCs/>
      <w:color w:val="3494BA" w:themeColor="accent2"/>
      <w:sz w:val="28"/>
    </w:rPr>
  </w:style>
  <w:style w:type="paragraph" w:styleId="BlockText">
    <w:name w:val="Block Text"/>
    <w:basedOn w:val="Normal"/>
    <w:uiPriority w:val="99"/>
    <w:semiHidden/>
    <w:unhideWhenUsed/>
    <w:rsid w:val="00915937"/>
    <w:pPr>
      <w:pBdr>
        <w:top w:val="single" w:sz="2" w:space="10" w:color="398E98" w:themeColor="accent1" w:themeShade="BF"/>
        <w:left w:val="single" w:sz="2" w:space="10" w:color="398E98" w:themeColor="accent1" w:themeShade="BF"/>
        <w:bottom w:val="single" w:sz="2" w:space="10" w:color="398E98" w:themeColor="accent1" w:themeShade="BF"/>
        <w:right w:val="single" w:sz="2" w:space="10" w:color="398E98" w:themeColor="accent1" w:themeShade="BF"/>
      </w:pBdr>
      <w:ind w:left="1152" w:right="1152"/>
    </w:pPr>
    <w:rPr>
      <w:rFonts w:eastAsiaTheme="minorEastAsia"/>
      <w:i/>
      <w:iCs/>
      <w:color w:val="398E98"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98E98"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98E98"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7A8C8E" w:themeColor="accent4"/>
        <w:left w:val="single" w:sz="2" w:space="8" w:color="7A8C8E" w:themeColor="accent4"/>
        <w:bottom w:val="single" w:sz="2" w:space="6" w:color="7A8C8E" w:themeColor="accent4"/>
        <w:right w:val="single" w:sz="2" w:space="8" w:color="7A8C8E" w:themeColor="accent4"/>
      </w:pBdr>
      <w:shd w:val="clear" w:color="auto" w:fill="7A8C8E"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7A8C8E"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373545"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65E65"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98E98"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65E65"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65E65"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58B6C0" w:themeColor="accent1"/>
    </w:rPr>
  </w:style>
  <w:style w:type="character" w:styleId="IntenseReference">
    <w:name w:val="Intense Reference"/>
    <w:basedOn w:val="DefaultParagraphFont"/>
    <w:uiPriority w:val="32"/>
    <w:semiHidden/>
    <w:unhideWhenUsed/>
    <w:rsid w:val="00AD1D74"/>
    <w:rPr>
      <w:b/>
      <w:bCs/>
      <w:smallCaps/>
      <w:color w:val="58B6C0"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01670C"/>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ass.warksypsduty@nh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73545"/>
      </a:dk2>
      <a:lt2>
        <a:srgbClr val="CEDBE6"/>
      </a:lt2>
      <a:accent1>
        <a:srgbClr val="58B6C0"/>
      </a:accent1>
      <a:accent2>
        <a:srgbClr val="3494BA"/>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0B9F0-1A5C-4649-B4A6-7F7D0E413516}">
  <ds:schemaRefs>
    <ds:schemaRef ds:uri="http://schemas.openxmlformats.org/officeDocument/2006/bibliography"/>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2020-12-18T10:24:00Z</dcterms:created>
  <dcterms:modified xsi:type="dcterms:W3CDTF">2020-12-18T10:24:00Z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